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pPr>
      <w:r>
        <w:rPr>
          <w:b/>
          <w:sz w:val="28"/>
        </w:rPr>
        <w:t>UMOWA O ROBOTY BRUKARSKIE — PROJEKT</w:t>
      </w:r>
    </w:p>
    <w:p>
      <w:r>
        <w:rPr/>
        <w:t>Łódź, ul. Perkalowa 12 — Etap I</w:t>
      </w:r>
    </w:p>
    <w:p>
      <w:r>
        <w:rPr/>
        <w:t>zawarta w dniu ……………… 2026 r. w Łodzi pomiędzy:</w:t>
      </w:r>
    </w:p>
    <w:p>
      <w:r>
        <w:rPr/>
        <w:t>Piotrem Zduniakiem, zamieszkałym w Łodzi 92-403, ul. Perkalowa 12, tel. 502-278-624, zwanym dalej Zamawiającym,</w:t>
      </w:r>
    </w:p>
    <w:p>
      <w:r>
        <w:rPr/>
        <w:t>a</w:t>
      </w:r>
    </w:p>
    <w:p>
      <w:r>
        <w:rPr/>
        <w:t>…………………………………………………………………………, NIP ……………………, zwanym dalej Wykonawcą,</w:t>
      </w:r>
    </w:p>
    <w:p>
      <w:r>
        <w:rPr/>
        <w:t>o następującej treści:</w:t>
      </w:r>
    </w:p>
    <w:p>
      <w:pPr>
        <w:keepNext/>
        <w:spacing w:before="200"/>
      </w:pPr>
      <w:r>
        <w:rPr>
          <w:b/>
          <w:sz w:val="24"/>
        </w:rPr>
        <w:t>§ 1. Przedmiot umowy</w:t>
      </w:r>
    </w:p>
    <w:p>
      <w:r>
        <w:rPr/>
        <w:t>1. Zamawiający zleca, a Wykonawca przyjmuje do realizacji roboty brukarskie na nieruchomości w Łodzi przy ul. Perkalowej 12, działki nr 8/7 i 8/8.</w:t>
      </w:r>
    </w:p>
    <w:p>
      <w:r>
        <w:rPr/>
        <w:t>2. Wykonawca zobowiązuje się wykonać przedmiot umowy zgodnie z dokumentacją wykonawczą stanowiącą Załącznik nr 1, obowiązującymi przepisami i normami oraz zasadami wiedzy i sztuki brukarskiej.</w:t>
      </w:r>
    </w:p>
    <w:p>
      <w:r>
        <w:rPr/>
        <w:t>3. Zakres robót obejmuje wykonanie tarasu, podjazdu, donic, schodów, opasek wokół budynku, dojść, ścieżek oraz platformy pod domek narzędziowy.</w:t>
      </w:r>
    </w:p>
    <w:p>
      <w:r>
        <w:rPr/>
        <w:t xml:space="preserve">4. Każda ze Stron prowadzi własny obmiar robót. Różnice ilościowe do </w:t>
      </w:r>
      <w:r>
        <w:rPr>
          <w:b/>
        </w:rPr>
        <w:t>± 2 %</w:t>
      </w:r>
      <w:r>
        <w:rPr/>
        <w:t xml:space="preserve"> nie zmieniają wysokości wynagrodzenia. Różnica przekraczająca ten próg wymaga odrębnego uzgodnienia Stron w formie dokumentowej, na wniosek którejkolwiek z nich.</w:t>
      </w:r>
    </w:p>
    <w:p>
      <w:r>
        <w:rPr/>
        <w:t>5. Wykonawca oświadcza, że dysponuje wiedzą, doświadczeniem oraz sprzętem niezbędnym do wykonania robót objętych umową.</w:t>
      </w:r>
    </w:p>
    <w:p>
      <w:r>
        <w:rPr/>
        <w:t>6. Zamawiający zobowiązuje się zapewnić Wykonawcy: dostęp do wody, dostęp do energii elektrycznej, dostęp do garażu w godzinach prowadzenia robót, materiał nawierzchniowy zgodnie z § 5 oraz kopię dokumentacji w skali.</w:t>
      </w:r>
    </w:p>
    <w:p>
      <w:r>
        <w:rPr/>
        <w:t xml:space="preserve">7. Wykonawca zapewnia, w ramach wynagrodzenia określonego w § 4, </w:t>
      </w:r>
      <w:r>
        <w:rPr>
          <w:b/>
        </w:rPr>
        <w:t>wszystkie materiały</w:t>
      </w:r>
      <w:r>
        <w:rPr/>
        <w:t xml:space="preserve"> podbudowy i materiały pomocnicze niezbędne do wykonania robót objętych umową, w zakresie i o parametrach </w:t>
      </w:r>
      <w:r>
        <w:rPr>
          <w:b/>
        </w:rPr>
        <w:t>wynikających z § 6</w:t>
      </w:r>
      <w:r>
        <w:rPr/>
        <w:t xml:space="preserve"> — w szczególności kruszywa i podsypki wskazane w tabeli konstrukcji (§ 6 ust. 1), geowłókninę separacyjną 200 g/m² (§ 6 ust. 2), beton na ławy pod obrzeża i krawężniki, krzyżyki dystansowe oraz materiał do wypełnienia spoin. </w:t>
      </w:r>
      <w:r>
        <w:rPr>
          <w:b/>
        </w:rPr>
        <w:t>Zamawiający nie dostarcza żadnych materiałów</w:t>
      </w:r>
      <w:r>
        <w:rPr/>
        <w:t xml:space="preserve"> poza wymienionymi w § 5 ust. 1.</w:t>
      </w:r>
    </w:p>
    <w:p>
      <w:pPr>
        <w:keepNext/>
        <w:spacing w:before="200"/>
      </w:pPr>
      <w:r>
        <w:rPr>
          <w:b/>
          <w:sz w:val="24"/>
        </w:rPr>
        <w:t>§ 2. Dokumentacja</w:t>
      </w:r>
    </w:p>
    <w:p>
      <w:r>
        <w:rPr/>
        <w:t>1. Roboty wykonywane są na podstawie dokumentacji wykonawczej „Nawierzchnia — rzut wykonawczy", arkusze 01–13, stanowiącej Załącznik nr 1. Wymiary podane są w milimetrach.</w:t>
      </w:r>
    </w:p>
    <w:p>
      <w:r>
        <w:rPr/>
        <w:t xml:space="preserve">2. Wykonawca sprawdza wymiary w terenie przed rozpoczęciem układania w danym miejscu i zgłasza Zamawiającemu każdą rozbieżność przekraczającą </w:t>
      </w:r>
      <w:r>
        <w:rPr>
          <w:b/>
        </w:rPr>
        <w:t>20 mm</w:t>
      </w:r>
      <w:r>
        <w:rPr/>
        <w:t xml:space="preserve"> przed wykonaniem robót w tym miejscu.</w:t>
      </w:r>
    </w:p>
    <w:p>
      <w:r>
        <w:rPr/>
        <w:t>3. W razie rozbieżności między rysunkiem a umową pierwszeństwo ma rysunek, a Wykonawca niezwłocznie zgłasza rozbieżność Zamawiającemu.</w:t>
      </w:r>
    </w:p>
    <w:p>
      <w:pPr>
        <w:keepNext/>
        <w:spacing w:before="200"/>
      </w:pPr>
      <w:r>
        <w:rPr>
          <w:b/>
          <w:sz w:val="24"/>
        </w:rPr>
        <w:t>§ 3. Termin wykonania</w:t>
      </w:r>
    </w:p>
    <w:p>
      <w:r>
        <w:rPr/>
        <w:t>1. Przekazanie terenu robót wraz z obejściem, o którym mowa w § 8 ust. 2, nastąpi w terminie ……………… .</w:t>
      </w:r>
    </w:p>
    <w:p>
      <w:r>
        <w:rPr/>
        <w:t xml:space="preserve">2. Roboty dzielą się na sekcje. Dla każdej sekcji Strony ustalają termin zakończenia robót i zgłoszenia sekcji do odbioru. Terminy te </w:t>
      </w:r>
      <w:r>
        <w:rPr>
          <w:b/>
        </w:rPr>
        <w:t>odpowiadają ratom wynagrodzenia</w:t>
      </w:r>
      <w:r>
        <w:rPr/>
        <w:t xml:space="preserve"> z § 4 ust. 3 i są podstawą ich wymagalności:</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8E8E8"/>
          </w:tcPr>
          <w:p>
            <w:pPr>
              <w:spacing w:after="0"/>
            </w:pPr>
            <w:r/>
            <w:r>
              <w:rPr>
                <w:b/>
                <w:sz w:val="17"/>
              </w:rPr>
              <w:t>sekcja</w:t>
            </w:r>
          </w:p>
        </w:tc>
        <w:tc>
          <w:tcPr>
            <w:tcW w:type="dxa" w:w="2493"/>
            <w:shd w:val="clear" w:color="auto" w:fill="E8E8E8"/>
          </w:tcPr>
          <w:p>
            <w:pPr>
              <w:spacing w:after="0"/>
            </w:pPr>
            <w:r/>
            <w:r>
              <w:rPr>
                <w:b/>
                <w:sz w:val="17"/>
              </w:rPr>
              <w:t>zakres</w:t>
            </w:r>
          </w:p>
        </w:tc>
        <w:tc>
          <w:tcPr>
            <w:tcW w:type="dxa" w:w="2493"/>
            <w:shd w:val="clear" w:color="auto" w:fill="E8E8E8"/>
          </w:tcPr>
          <w:p>
            <w:pPr>
              <w:spacing w:after="0"/>
            </w:pPr>
            <w:r/>
            <w:r>
              <w:rPr>
                <w:b/>
                <w:sz w:val="17"/>
              </w:rPr>
              <w:t>rozpoczęcie</w:t>
            </w:r>
          </w:p>
        </w:tc>
        <w:tc>
          <w:tcPr>
            <w:tcW w:type="dxa" w:w="2493"/>
            <w:shd w:val="clear" w:color="auto" w:fill="E8E8E8"/>
          </w:tcPr>
          <w:p>
            <w:pPr>
              <w:spacing w:after="0"/>
            </w:pPr>
            <w:r/>
            <w:r>
              <w:rPr>
                <w:b/>
                <w:sz w:val="17"/>
              </w:rPr>
              <w:t>zakończenie i zgłoszenie do odbioru</w:t>
            </w:r>
          </w:p>
        </w:tc>
      </w:tr>
      <w:tr>
        <w:tc>
          <w:tcPr>
            <w:tcW w:type="dxa" w:w="2493"/>
          </w:tcPr>
          <w:p>
            <w:pPr>
              <w:spacing w:after="0"/>
            </w:pPr>
            <w:r/>
            <w:r>
              <w:rPr>
                <w:sz w:val="17"/>
              </w:rPr>
              <w:t>S1</w:t>
            </w:r>
          </w:p>
        </w:tc>
        <w:tc>
          <w:tcPr>
            <w:tcW w:type="dxa" w:w="2493"/>
          </w:tcPr>
          <w:p>
            <w:pPr>
              <w:spacing w:after="0"/>
            </w:pPr>
            <w:r/>
            <w:r>
              <w:rPr>
                <w:sz w:val="17"/>
              </w:rPr>
              <w:t>platforma pod domek narzędziowy — przed ustawieniem domku</w:t>
            </w:r>
          </w:p>
        </w:tc>
        <w:tc>
          <w:tcPr>
            <w:tcW w:type="dxa" w:w="2493"/>
          </w:tcPr>
          <w:p>
            <w:pPr>
              <w:spacing w:after="0"/>
            </w:pPr>
            <w:r/>
            <w:r>
              <w:rPr>
                <w:sz w:val="17"/>
              </w:rPr>
              <w:t>……………</w:t>
            </w:r>
          </w:p>
        </w:tc>
        <w:tc>
          <w:tcPr>
            <w:tcW w:type="dxa" w:w="2493"/>
          </w:tcPr>
          <w:p>
            <w:pPr>
              <w:spacing w:after="0"/>
            </w:pPr>
            <w:r/>
            <w:r>
              <w:rPr>
                <w:sz w:val="17"/>
              </w:rPr>
              <w:t>……………</w:t>
            </w:r>
          </w:p>
        </w:tc>
      </w:tr>
      <w:tr>
        <w:tc>
          <w:tcPr>
            <w:tcW w:type="dxa" w:w="2493"/>
          </w:tcPr>
          <w:p>
            <w:pPr>
              <w:spacing w:after="0"/>
            </w:pPr>
            <w:r/>
            <w:r>
              <w:rPr>
                <w:sz w:val="17"/>
              </w:rPr>
              <w:t>S2</w:t>
            </w:r>
          </w:p>
        </w:tc>
        <w:tc>
          <w:tcPr>
            <w:tcW w:type="dxa" w:w="2493"/>
          </w:tcPr>
          <w:p>
            <w:pPr>
              <w:spacing w:after="0"/>
            </w:pPr>
            <w:r/>
            <w:r>
              <w:rPr>
                <w:sz w:val="17"/>
              </w:rPr>
              <w:t>taras, wejście do domu, donice (gres)</w:t>
            </w:r>
          </w:p>
        </w:tc>
        <w:tc>
          <w:tcPr>
            <w:tcW w:type="dxa" w:w="2493"/>
          </w:tcPr>
          <w:p>
            <w:pPr>
              <w:spacing w:after="0"/>
            </w:pPr>
            <w:r/>
            <w:r>
              <w:rPr>
                <w:sz w:val="17"/>
              </w:rPr>
              <w:t>……………</w:t>
            </w:r>
          </w:p>
        </w:tc>
        <w:tc>
          <w:tcPr>
            <w:tcW w:type="dxa" w:w="2493"/>
          </w:tcPr>
          <w:p>
            <w:pPr>
              <w:spacing w:after="0"/>
            </w:pPr>
            <w:r/>
            <w:r>
              <w:rPr>
                <w:sz w:val="17"/>
              </w:rPr>
              <w:t>……………</w:t>
            </w:r>
          </w:p>
        </w:tc>
      </w:tr>
      <w:tr>
        <w:tc>
          <w:tcPr>
            <w:tcW w:type="dxa" w:w="2493"/>
          </w:tcPr>
          <w:p>
            <w:pPr>
              <w:spacing w:after="0"/>
            </w:pPr>
            <w:r/>
            <w:r>
              <w:rPr>
                <w:sz w:val="17"/>
              </w:rPr>
              <w:t>S4</w:t>
            </w:r>
          </w:p>
        </w:tc>
        <w:tc>
          <w:tcPr>
            <w:tcW w:type="dxa" w:w="2493"/>
          </w:tcPr>
          <w:p>
            <w:pPr>
              <w:spacing w:after="0"/>
            </w:pPr>
            <w:r/>
            <w:r>
              <w:rPr>
                <w:sz w:val="17"/>
              </w:rPr>
              <w:t>opaski, dojścia, palisada</w:t>
            </w:r>
          </w:p>
        </w:tc>
        <w:tc>
          <w:tcPr>
            <w:tcW w:type="dxa" w:w="2493"/>
          </w:tcPr>
          <w:p>
            <w:pPr>
              <w:spacing w:after="0"/>
            </w:pPr>
            <w:r/>
            <w:r>
              <w:rPr>
                <w:sz w:val="17"/>
              </w:rPr>
              <w:t>……………</w:t>
            </w:r>
          </w:p>
        </w:tc>
        <w:tc>
          <w:tcPr>
            <w:tcW w:type="dxa" w:w="2493"/>
          </w:tcPr>
          <w:p>
            <w:pPr>
              <w:spacing w:after="0"/>
            </w:pPr>
            <w:r/>
            <w:r>
              <w:rPr>
                <w:sz w:val="17"/>
              </w:rPr>
              <w:t>……………</w:t>
            </w:r>
          </w:p>
        </w:tc>
      </w:tr>
      <w:tr>
        <w:tc>
          <w:tcPr>
            <w:tcW w:type="dxa" w:w="2493"/>
          </w:tcPr>
          <w:p>
            <w:pPr>
              <w:spacing w:after="0"/>
            </w:pPr>
            <w:r/>
            <w:r>
              <w:rPr>
                <w:sz w:val="17"/>
              </w:rPr>
              <w:t>S5</w:t>
            </w:r>
          </w:p>
        </w:tc>
        <w:tc>
          <w:tcPr>
            <w:tcW w:type="dxa" w:w="2493"/>
          </w:tcPr>
          <w:p>
            <w:pPr>
              <w:spacing w:after="0"/>
            </w:pPr>
            <w:r/>
            <w:r>
              <w:rPr>
                <w:sz w:val="17"/>
              </w:rPr>
              <w:t>ścieżki z płyt</w:t>
            </w:r>
          </w:p>
        </w:tc>
        <w:tc>
          <w:tcPr>
            <w:tcW w:type="dxa" w:w="2493"/>
          </w:tcPr>
          <w:p>
            <w:pPr>
              <w:spacing w:after="0"/>
            </w:pPr>
            <w:r/>
            <w:r>
              <w:rPr>
                <w:sz w:val="17"/>
              </w:rPr>
              <w:t>……………</w:t>
            </w:r>
          </w:p>
        </w:tc>
        <w:tc>
          <w:tcPr>
            <w:tcW w:type="dxa" w:w="2493"/>
          </w:tcPr>
          <w:p>
            <w:pPr>
              <w:spacing w:after="0"/>
            </w:pPr>
            <w:r/>
            <w:r>
              <w:rPr>
                <w:sz w:val="17"/>
              </w:rPr>
              <w:t>……………</w:t>
            </w:r>
          </w:p>
        </w:tc>
      </w:tr>
      <w:tr>
        <w:tc>
          <w:tcPr>
            <w:tcW w:type="dxa" w:w="2493"/>
          </w:tcPr>
          <w:p>
            <w:pPr>
              <w:spacing w:after="0"/>
            </w:pPr>
            <w:r/>
            <w:r>
              <w:rPr>
                <w:sz w:val="17"/>
              </w:rPr>
              <w:t>S6</w:t>
            </w:r>
          </w:p>
        </w:tc>
        <w:tc>
          <w:tcPr>
            <w:tcW w:type="dxa" w:w="2493"/>
          </w:tcPr>
          <w:p>
            <w:pPr>
              <w:spacing w:after="0"/>
            </w:pPr>
            <w:r/>
            <w:r>
              <w:rPr>
                <w:sz w:val="17"/>
              </w:rPr>
              <w:t>ścieżka dom–warsztat</w:t>
            </w:r>
          </w:p>
        </w:tc>
        <w:tc>
          <w:tcPr>
            <w:tcW w:type="dxa" w:w="2493"/>
          </w:tcPr>
          <w:p>
            <w:pPr>
              <w:spacing w:after="0"/>
            </w:pPr>
            <w:r/>
            <w:r>
              <w:rPr>
                <w:sz w:val="17"/>
              </w:rPr>
              <w:t>……………</w:t>
            </w:r>
          </w:p>
        </w:tc>
        <w:tc>
          <w:tcPr>
            <w:tcW w:type="dxa" w:w="2493"/>
          </w:tcPr>
          <w:p>
            <w:pPr>
              <w:spacing w:after="0"/>
            </w:pPr>
            <w:r/>
            <w:r>
              <w:rPr>
                <w:sz w:val="17"/>
              </w:rPr>
              <w:t>……………</w:t>
            </w:r>
          </w:p>
        </w:tc>
      </w:tr>
      <w:tr>
        <w:tc>
          <w:tcPr>
            <w:tcW w:type="dxa" w:w="2493"/>
          </w:tcPr>
          <w:p>
            <w:pPr>
              <w:spacing w:after="0"/>
            </w:pPr>
            <w:r/>
            <w:r>
              <w:rPr>
                <w:sz w:val="17"/>
              </w:rPr>
              <w:t>S7</w:t>
            </w:r>
          </w:p>
        </w:tc>
        <w:tc>
          <w:tcPr>
            <w:tcW w:type="dxa" w:w="2493"/>
          </w:tcPr>
          <w:p>
            <w:pPr>
              <w:spacing w:after="0"/>
            </w:pPr>
            <w:r/>
            <w:r>
              <w:rPr>
                <w:sz w:val="17"/>
              </w:rPr>
              <w:t>opaska wzdłuż ogrodzenia (§ 7)</w:t>
            </w:r>
          </w:p>
        </w:tc>
        <w:tc>
          <w:tcPr>
            <w:tcW w:type="dxa" w:w="2493"/>
          </w:tcPr>
          <w:p>
            <w:pPr>
              <w:spacing w:after="0"/>
            </w:pPr>
            <w:r/>
            <w:r>
              <w:rPr>
                <w:sz w:val="17"/>
              </w:rPr>
              <w:t>……………</w:t>
            </w:r>
          </w:p>
        </w:tc>
        <w:tc>
          <w:tcPr>
            <w:tcW w:type="dxa" w:w="2493"/>
          </w:tcPr>
          <w:p>
            <w:pPr>
              <w:spacing w:after="0"/>
            </w:pPr>
            <w:r/>
            <w:r>
              <w:rPr>
                <w:sz w:val="17"/>
              </w:rPr>
              <w:t>……………</w:t>
            </w:r>
          </w:p>
        </w:tc>
      </w:tr>
      <w:tr>
        <w:tc>
          <w:tcPr>
            <w:tcW w:type="dxa" w:w="2493"/>
          </w:tcPr>
          <w:p>
            <w:pPr>
              <w:spacing w:after="0"/>
            </w:pPr>
            <w:r/>
            <w:r>
              <w:rPr>
                <w:sz w:val="17"/>
              </w:rPr>
              <w:t>S3</w:t>
            </w:r>
          </w:p>
        </w:tc>
        <w:tc>
          <w:tcPr>
            <w:tcW w:type="dxa" w:w="2493"/>
          </w:tcPr>
          <w:p>
            <w:pPr>
              <w:spacing w:after="0"/>
            </w:pPr>
            <w:r/>
            <w:r>
              <w:rPr>
                <w:sz w:val="17"/>
              </w:rPr>
              <w:t>podjazd i miejsca postojowe — po opróżnieniu placu składowego</w:t>
            </w:r>
          </w:p>
        </w:tc>
        <w:tc>
          <w:tcPr>
            <w:tcW w:type="dxa" w:w="2493"/>
          </w:tcPr>
          <w:p>
            <w:pPr>
              <w:spacing w:after="0"/>
            </w:pPr>
            <w:r/>
            <w:r>
              <w:rPr>
                <w:sz w:val="17"/>
              </w:rPr>
              <w:t>……………</w:t>
            </w:r>
          </w:p>
        </w:tc>
        <w:tc>
          <w:tcPr>
            <w:tcW w:type="dxa" w:w="2493"/>
          </w:tcPr>
          <w:p>
            <w:pPr>
              <w:spacing w:after="0"/>
            </w:pPr>
            <w:r/>
            <w:r>
              <w:rPr>
                <w:sz w:val="17"/>
              </w:rPr>
              <w:t>……………</w:t>
            </w:r>
          </w:p>
        </w:tc>
      </w:tr>
      <w:tr>
        <w:tc>
          <w:tcPr>
            <w:tcW w:type="dxa" w:w="2493"/>
          </w:tcPr>
          <w:p>
            <w:pPr>
              <w:spacing w:after="0"/>
            </w:pPr>
            <w:r/>
          </w:p>
        </w:tc>
        <w:tc>
          <w:tcPr>
            <w:tcW w:type="dxa" w:w="2493"/>
          </w:tcPr>
          <w:p>
            <w:pPr>
              <w:spacing w:after="0"/>
            </w:pPr>
            <w:r/>
            <w:r>
              <w:rPr>
                <w:sz w:val="17"/>
              </w:rPr>
              <w:t>ZGŁOSZENIE DO ODBIORU KOŃCOWEGO</w:t>
            </w:r>
          </w:p>
        </w:tc>
        <w:tc>
          <w:tcPr>
            <w:tcW w:type="dxa" w:w="2493"/>
          </w:tcPr>
          <w:p>
            <w:pPr>
              <w:spacing w:after="0"/>
            </w:pPr>
            <w:r/>
          </w:p>
        </w:tc>
        <w:tc>
          <w:tcPr>
            <w:tcW w:type="dxa" w:w="2493"/>
          </w:tcPr>
          <w:p>
            <w:pPr>
              <w:spacing w:after="0"/>
            </w:pPr>
            <w:r/>
            <w:r>
              <w:rPr>
                <w:sz w:val="17"/>
              </w:rPr>
              <w:t>……………</w:t>
            </w:r>
          </w:p>
        </w:tc>
      </w:tr>
    </w:tbl>
    <w:p>
      <w:pPr>
        <w:spacing w:after="0"/>
      </w:pPr>
    </w:p>
    <w:p>
      <w:r>
        <w:rPr/>
        <w:t xml:space="preserve">3. </w:t>
      </w:r>
      <w:r>
        <w:rPr>
          <w:b/>
        </w:rPr>
        <w:t>Wiążącym terminem</w:t>
      </w:r>
      <w:r>
        <w:rPr/>
        <w:t xml:space="preserve"> zakończenia przedmiotu umowy jest termin zgłoszenia do odbioru końcowego. Terminy poszczególnych sekcji porządkują przebieg robót i wyznaczają wymagalność rat.</w:t>
      </w:r>
    </w:p>
    <w:p>
      <w:r>
        <w:rPr/>
        <w:t xml:space="preserve">4. Wiążące jest jedno ograniczenie kolejności: sekcja S1 poprzedza ustawienie domku narzędziowego. </w:t>
      </w:r>
      <w:r>
        <w:rPr>
          <w:b/>
        </w:rPr>
        <w:t>KOLEJNOŚĆ POZOSTAŁYCH SEKCJI WYKONAWCA USTALA SAMODZIELNIE</w:t>
      </w:r>
      <w:r>
        <w:rPr/>
        <w:t xml:space="preserve"> i zawiadamia o niej Zamawiającego przed rozpoczęciem robót.</w:t>
      </w:r>
    </w:p>
    <w:p>
      <w:r>
        <w:rPr/>
        <w:t xml:space="preserve">5. Terminy ulegają przesunięciu </w:t>
      </w:r>
      <w:r>
        <w:rPr>
          <w:b/>
        </w:rPr>
        <w:t>o czas trwania</w:t>
      </w:r>
      <w:r>
        <w:rPr/>
        <w:t xml:space="preserve"> warunków atmosferycznych uniemożliwiających prowadzenie robót — temperatura poniżej +5 °C, opady ciągłe, grunt zamarznięty. Wystąpienie i ustanie takich warunków Wykonawca zgłasza Zamawiającemu w formie dokumentowej — </w:t>
      </w:r>
      <w:r>
        <w:rPr>
          <w:b/>
        </w:rPr>
        <w:t>wystarczy wiadomość SMS</w:t>
      </w:r>
      <w:r>
        <w:rPr/>
        <w:t xml:space="preserve"> na numer telefonu wskazany w § 13 ust. 4; przesunięcie terminu wymaga potwierdzenia w tej samej formie.</w:t>
      </w:r>
    </w:p>
    <w:p>
      <w:r>
        <w:rPr/>
        <w:t>6. Terminy ulegają przesunięciu również o czas zwłoki Zamawiającego w dostarczeniu materiału oraz o czas wykonywania robót dodatkowych zleconych na podstawie § 11.</w:t>
      </w:r>
    </w:p>
    <w:p>
      <w:r>
        <w:rPr/>
        <w:t>7. Przesunięcie terminu jednej sekcji przesuwa o ten sam czas terminy sekcji następnych, chyba że Strony postanowią inaczej w formie dokumentowej.</w:t>
      </w:r>
    </w:p>
    <w:p>
      <w:pPr>
        <w:keepNext/>
        <w:spacing w:before="200"/>
      </w:pPr>
      <w:r>
        <w:rPr>
          <w:b/>
          <w:sz w:val="24"/>
        </w:rPr>
        <w:t>§ 4. Wynagrodzenie i zapłata wynagrodzenia</w:t>
      </w:r>
    </w:p>
    <w:p>
      <w:r>
        <w:rPr/>
        <w:t xml:space="preserve">1. Za wykonanie przedmiotu umowy Wykonawcy przysługuje wynagrodzenie w kwocie </w:t>
      </w:r>
      <w:r>
        <w:rPr>
          <w:b/>
        </w:rPr>
        <w:t>……………… zł netto</w:t>
      </w:r>
      <w:r>
        <w:rPr/>
        <w:t xml:space="preserve"> (słownie: ………………………………………………………… złotych), powiększone o podatek VAT według stawki ……… %, tj. ……………… zł, co daje </w:t>
      </w:r>
      <w:r>
        <w:rPr>
          <w:b/>
        </w:rPr>
        <w:t>……………… zł brutto</w:t>
      </w:r>
      <w:r>
        <w:rPr/>
        <w:t>.</w:t>
      </w:r>
    </w:p>
    <w:p>
      <w:r>
        <w:rPr/>
        <w:t>2. Wykonawca oświadcza, że jest czynnym podatnikiem podatku od towarów i usług. Podstawą płatności jest faktura VAT wystawiona na Zamawiającego.</w:t>
      </w:r>
    </w:p>
    <w:p>
      <w:r>
        <w:rPr/>
        <w:t xml:space="preserve">3. Roboty dzielą się na sekcje. </w:t>
      </w:r>
      <w:r>
        <w:rPr>
          <w:b/>
        </w:rPr>
        <w:t>Każda sekcja obejmuje własne roboty ziemne i podbudowę</w:t>
      </w:r>
      <w:r>
        <w:rPr/>
        <w:t>, podlega odrębnemu odbiorowi i stanowi podstawę wymagalności przypisanej jej raty. Wynagrodzenie płatne jest w następujący sposób:</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8E8E8"/>
          </w:tcPr>
          <w:p>
            <w:pPr>
              <w:spacing w:after="0"/>
            </w:pPr>
            <w:r/>
            <w:r>
              <w:rPr>
                <w:b/>
                <w:sz w:val="17"/>
              </w:rPr>
              <w:t>rata</w:t>
            </w:r>
          </w:p>
        </w:tc>
        <w:tc>
          <w:tcPr>
            <w:tcW w:type="dxa" w:w="1994"/>
            <w:shd w:val="clear" w:color="auto" w:fill="E8E8E8"/>
          </w:tcPr>
          <w:p>
            <w:pPr>
              <w:spacing w:after="0"/>
            </w:pPr>
            <w:r/>
            <w:r>
              <w:rPr>
                <w:b/>
                <w:sz w:val="17"/>
              </w:rPr>
              <w:t>płatna po</w:t>
            </w:r>
          </w:p>
        </w:tc>
        <w:tc>
          <w:tcPr>
            <w:tcW w:type="dxa" w:w="1994"/>
            <w:shd w:val="clear" w:color="auto" w:fill="E8E8E8"/>
          </w:tcPr>
          <w:p>
            <w:pPr>
              <w:spacing w:after="0"/>
            </w:pPr>
            <w:r/>
            <w:r>
              <w:rPr>
                <w:b/>
                <w:sz w:val="17"/>
              </w:rPr>
              <w:t>udział w robotach</w:t>
            </w:r>
          </w:p>
        </w:tc>
        <w:tc>
          <w:tcPr>
            <w:tcW w:type="dxa" w:w="1994"/>
            <w:shd w:val="clear" w:color="auto" w:fill="E8E8E8"/>
          </w:tcPr>
          <w:p>
            <w:pPr>
              <w:spacing w:after="0"/>
            </w:pPr>
            <w:r/>
            <w:r>
              <w:rPr>
                <w:b/>
                <w:sz w:val="17"/>
              </w:rPr>
              <w:t>zł netto</w:t>
            </w:r>
          </w:p>
        </w:tc>
        <w:tc>
          <w:tcPr>
            <w:tcW w:type="dxa" w:w="1994"/>
            <w:shd w:val="clear" w:color="auto" w:fill="E8E8E8"/>
          </w:tcPr>
          <w:p>
            <w:pPr>
              <w:spacing w:after="0"/>
            </w:pPr>
            <w:r/>
            <w:r>
              <w:rPr>
                <w:b/>
                <w:sz w:val="17"/>
              </w:rPr>
              <w:t>zł brutto</w:t>
            </w:r>
          </w:p>
        </w:tc>
      </w:tr>
      <w:tr>
        <w:tc>
          <w:tcPr>
            <w:tcW w:type="dxa" w:w="1994"/>
          </w:tcPr>
          <w:p>
            <w:pPr>
              <w:spacing w:after="0"/>
            </w:pPr>
            <w:r/>
            <w:r>
              <w:rPr>
                <w:sz w:val="17"/>
              </w:rPr>
              <w:t>0</w:t>
            </w:r>
          </w:p>
        </w:tc>
        <w:tc>
          <w:tcPr>
            <w:tcW w:type="dxa" w:w="1994"/>
          </w:tcPr>
          <w:p>
            <w:pPr>
              <w:spacing w:after="0"/>
            </w:pPr>
            <w:r/>
            <w:r>
              <w:rPr>
                <w:sz w:val="17"/>
              </w:rPr>
              <w:t xml:space="preserve">podpisaniu umowy i protokolarnym przekazaniu terenu robót — </w:t>
            </w:r>
            <w:r>
              <w:rPr>
                <w:b/>
                <w:sz w:val="17"/>
              </w:rPr>
              <w:t>ZALICZKA</w:t>
            </w:r>
          </w:p>
        </w:tc>
        <w:tc>
          <w:tcPr>
            <w:tcW w:type="dxa" w:w="1994"/>
          </w:tcPr>
          <w:p>
            <w:pPr>
              <w:spacing w:after="0"/>
            </w:pPr>
            <w:r/>
            <w:r>
              <w:rPr>
                <w:sz w:val="17"/>
              </w:rPr>
              <w:t>—</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1</w:t>
            </w:r>
          </w:p>
        </w:tc>
        <w:tc>
          <w:tcPr>
            <w:tcW w:type="dxa" w:w="1994"/>
          </w:tcPr>
          <w:p>
            <w:pPr>
              <w:spacing w:after="0"/>
            </w:pPr>
            <w:r/>
            <w:r>
              <w:rPr>
                <w:sz w:val="17"/>
              </w:rPr>
              <w:t>odbiorze sekcji S1 — platforma pod domek narzędziowy</w:t>
            </w:r>
          </w:p>
        </w:tc>
        <w:tc>
          <w:tcPr>
            <w:tcW w:type="dxa" w:w="1994"/>
          </w:tcPr>
          <w:p>
            <w:pPr>
              <w:spacing w:after="0"/>
            </w:pPr>
            <w:r/>
            <w:r>
              <w:rPr>
                <w:sz w:val="17"/>
              </w:rPr>
              <w:t>2,52 %</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2</w:t>
            </w:r>
          </w:p>
        </w:tc>
        <w:tc>
          <w:tcPr>
            <w:tcW w:type="dxa" w:w="1994"/>
          </w:tcPr>
          <w:p>
            <w:pPr>
              <w:spacing w:after="0"/>
            </w:pPr>
            <w:r/>
            <w:r>
              <w:rPr>
                <w:sz w:val="17"/>
              </w:rPr>
              <w:t>odbiorze sekcji S2 — taras, wejście do domu, donice (gres)</w:t>
            </w:r>
          </w:p>
        </w:tc>
        <w:tc>
          <w:tcPr>
            <w:tcW w:type="dxa" w:w="1994"/>
          </w:tcPr>
          <w:p>
            <w:pPr>
              <w:spacing w:after="0"/>
            </w:pPr>
            <w:r/>
            <w:r>
              <w:rPr>
                <w:sz w:val="17"/>
              </w:rPr>
              <w:t>30,64 %</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3</w:t>
            </w:r>
          </w:p>
        </w:tc>
        <w:tc>
          <w:tcPr>
            <w:tcW w:type="dxa" w:w="1994"/>
          </w:tcPr>
          <w:p>
            <w:pPr>
              <w:spacing w:after="0"/>
            </w:pPr>
            <w:r/>
            <w:r>
              <w:rPr>
                <w:sz w:val="17"/>
              </w:rPr>
              <w:t>odbiorze sekcji S4 — opaski, dojścia, palisada</w:t>
            </w:r>
          </w:p>
        </w:tc>
        <w:tc>
          <w:tcPr>
            <w:tcW w:type="dxa" w:w="1994"/>
          </w:tcPr>
          <w:p>
            <w:pPr>
              <w:spacing w:after="0"/>
            </w:pPr>
            <w:r/>
            <w:r>
              <w:rPr>
                <w:sz w:val="17"/>
              </w:rPr>
              <w:t>24,50 %</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4</w:t>
            </w:r>
          </w:p>
        </w:tc>
        <w:tc>
          <w:tcPr>
            <w:tcW w:type="dxa" w:w="1994"/>
          </w:tcPr>
          <w:p>
            <w:pPr>
              <w:spacing w:after="0"/>
            </w:pPr>
            <w:r/>
            <w:r>
              <w:rPr>
                <w:sz w:val="17"/>
              </w:rPr>
              <w:t>odbiorze sekcji S5 — ścieżki z płyt</w:t>
            </w:r>
          </w:p>
        </w:tc>
        <w:tc>
          <w:tcPr>
            <w:tcW w:type="dxa" w:w="1994"/>
          </w:tcPr>
          <w:p>
            <w:pPr>
              <w:spacing w:after="0"/>
            </w:pPr>
            <w:r/>
            <w:r>
              <w:rPr>
                <w:sz w:val="17"/>
              </w:rPr>
              <w:t>16,97 %</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5</w:t>
            </w:r>
          </w:p>
        </w:tc>
        <w:tc>
          <w:tcPr>
            <w:tcW w:type="dxa" w:w="1994"/>
          </w:tcPr>
          <w:p>
            <w:pPr>
              <w:spacing w:after="0"/>
            </w:pPr>
            <w:r/>
            <w:r>
              <w:rPr>
                <w:sz w:val="17"/>
              </w:rPr>
              <w:t>odbiorze sekcji S6 — ścieżka dom–warsztat</w:t>
            </w:r>
          </w:p>
        </w:tc>
        <w:tc>
          <w:tcPr>
            <w:tcW w:type="dxa" w:w="1994"/>
          </w:tcPr>
          <w:p>
            <w:pPr>
              <w:spacing w:after="0"/>
            </w:pPr>
            <w:r/>
            <w:r>
              <w:rPr>
                <w:sz w:val="17"/>
              </w:rPr>
              <w:t>5,96 %</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6</w:t>
            </w:r>
          </w:p>
        </w:tc>
        <w:tc>
          <w:tcPr>
            <w:tcW w:type="dxa" w:w="1994"/>
          </w:tcPr>
          <w:p>
            <w:pPr>
              <w:spacing w:after="0"/>
            </w:pPr>
            <w:r/>
            <w:r>
              <w:rPr>
                <w:sz w:val="17"/>
              </w:rPr>
              <w:t>odbiorze sekcji S7 — opaska wzdłuż ogrodzenia</w:t>
            </w:r>
          </w:p>
        </w:tc>
        <w:tc>
          <w:tcPr>
            <w:tcW w:type="dxa" w:w="1994"/>
          </w:tcPr>
          <w:p>
            <w:pPr>
              <w:spacing w:after="0"/>
            </w:pPr>
            <w:r/>
            <w:r>
              <w:rPr>
                <w:sz w:val="17"/>
              </w:rPr>
              <w:t>4,62 %</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7</w:t>
            </w:r>
          </w:p>
        </w:tc>
        <w:tc>
          <w:tcPr>
            <w:tcW w:type="dxa" w:w="1994"/>
          </w:tcPr>
          <w:p>
            <w:pPr>
              <w:spacing w:after="0"/>
            </w:pPr>
            <w:r/>
            <w:r>
              <w:rPr>
                <w:sz w:val="17"/>
              </w:rPr>
              <w:t>odbiorze sekcji S3 — podjazd i miejsca postojowe</w:t>
            </w:r>
          </w:p>
        </w:tc>
        <w:tc>
          <w:tcPr>
            <w:tcW w:type="dxa" w:w="1994"/>
          </w:tcPr>
          <w:p>
            <w:pPr>
              <w:spacing w:after="0"/>
            </w:pPr>
            <w:r/>
            <w:r>
              <w:rPr>
                <w:sz w:val="17"/>
              </w:rPr>
              <w:t>14,79 %</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r>
              <w:rPr>
                <w:sz w:val="17"/>
              </w:rPr>
              <w:t>8</w:t>
            </w:r>
          </w:p>
        </w:tc>
        <w:tc>
          <w:tcPr>
            <w:tcW w:type="dxa" w:w="1994"/>
          </w:tcPr>
          <w:p>
            <w:pPr>
              <w:spacing w:after="0"/>
            </w:pPr>
            <w:r/>
            <w:r>
              <w:rPr>
                <w:sz w:val="17"/>
              </w:rPr>
              <w:t>podpisaniu protokołu odbioru końcowego bez wad istotnych</w:t>
            </w:r>
          </w:p>
        </w:tc>
        <w:tc>
          <w:tcPr>
            <w:tcW w:type="dxa" w:w="1994"/>
          </w:tcPr>
          <w:p>
            <w:pPr>
              <w:spacing w:after="0"/>
            </w:pPr>
            <w:r/>
            <w:r>
              <w:rPr>
                <w:sz w:val="17"/>
              </w:rPr>
              <w:t>—</w:t>
            </w:r>
          </w:p>
        </w:tc>
        <w:tc>
          <w:tcPr>
            <w:tcW w:type="dxa" w:w="1994"/>
          </w:tcPr>
          <w:p>
            <w:pPr>
              <w:spacing w:after="0"/>
            </w:pPr>
            <w:r/>
            <w:r>
              <w:rPr>
                <w:sz w:val="17"/>
              </w:rPr>
              <w:t>………</w:t>
            </w:r>
          </w:p>
        </w:tc>
        <w:tc>
          <w:tcPr>
            <w:tcW w:type="dxa" w:w="1994"/>
          </w:tcPr>
          <w:p>
            <w:pPr>
              <w:spacing w:after="0"/>
            </w:pPr>
            <w:r/>
            <w:r>
              <w:rPr>
                <w:sz w:val="17"/>
              </w:rPr>
              <w:t>………</w:t>
            </w:r>
          </w:p>
        </w:tc>
      </w:tr>
      <w:tr>
        <w:tc>
          <w:tcPr>
            <w:tcW w:type="dxa" w:w="1994"/>
          </w:tcPr>
          <w:p>
            <w:pPr>
              <w:spacing w:after="0"/>
            </w:pPr>
            <w:r/>
          </w:p>
        </w:tc>
        <w:tc>
          <w:tcPr>
            <w:tcW w:type="dxa" w:w="1994"/>
          </w:tcPr>
          <w:p>
            <w:pPr>
              <w:spacing w:after="0"/>
            </w:pPr>
            <w:r/>
            <w:r>
              <w:rPr>
                <w:b/>
                <w:sz w:val="17"/>
              </w:rPr>
              <w:t>RAZEM</w:t>
            </w:r>
          </w:p>
        </w:tc>
        <w:tc>
          <w:tcPr>
            <w:tcW w:type="dxa" w:w="1994"/>
          </w:tcPr>
          <w:p>
            <w:pPr>
              <w:spacing w:after="0"/>
            </w:pPr>
            <w:r/>
            <w:r>
              <w:rPr>
                <w:b/>
                <w:sz w:val="17"/>
              </w:rPr>
              <w:t>100,00 %</w:t>
            </w:r>
          </w:p>
        </w:tc>
        <w:tc>
          <w:tcPr>
            <w:tcW w:type="dxa" w:w="1994"/>
          </w:tcPr>
          <w:p>
            <w:pPr>
              <w:spacing w:after="0"/>
            </w:pPr>
            <w:r/>
            <w:r>
              <w:rPr>
                <w:b/>
                <w:sz w:val="17"/>
              </w:rPr>
              <w:t>………</w:t>
            </w:r>
          </w:p>
        </w:tc>
        <w:tc>
          <w:tcPr>
            <w:tcW w:type="dxa" w:w="1994"/>
          </w:tcPr>
          <w:p>
            <w:pPr>
              <w:spacing w:after="0"/>
            </w:pPr>
            <w:r/>
            <w:r>
              <w:rPr>
                <w:b/>
                <w:sz w:val="17"/>
              </w:rPr>
              <w:t>………</w:t>
            </w:r>
          </w:p>
        </w:tc>
      </w:tr>
    </w:tbl>
    <w:p>
      <w:pPr>
        <w:spacing w:after="0"/>
      </w:pPr>
    </w:p>
    <w:p>
      <w:r>
        <w:rPr/>
        <w:t xml:space="preserve">4. Kolumna „udział w robotach" określa, jaką część całości robót stanowi dana sekcja. </w:t>
      </w:r>
      <w:r>
        <w:rPr>
          <w:b/>
        </w:rPr>
        <w:t>Udziały te są stałe</w:t>
      </w:r>
      <w:r>
        <w:rPr/>
        <w:t xml:space="preserve"> i nie zmieniają się przy zmianie kolejności wykonywania sekcji (§ 3 ust. 4). Rata staje się wymagalna z chwilą odbioru sekcji, niezależnie od kolejności, w jakiej sekcje zostały wykonane.</w:t>
      </w:r>
    </w:p>
    <w:p>
      <w:r>
        <w:rPr/>
        <w:t xml:space="preserve">5. Rata 0 stanowi </w:t>
      </w:r>
      <w:r>
        <w:rPr>
          <w:b/>
        </w:rPr>
        <w:t>ZALICZKĘ w wysokości ……………… zł brutto</w:t>
      </w:r>
      <w:r>
        <w:rPr/>
        <w:t xml:space="preserve"> (……… % wynagrodzenia). Rata 8 obejmuje pozostałą część wynagrodzenia.</w:t>
      </w:r>
    </w:p>
    <w:p>
      <w:r>
        <w:rPr/>
        <w:t>6. Kolejność sekcji i terminy ich wykonania określa § 3.</w:t>
      </w:r>
    </w:p>
    <w:p>
      <w:r>
        <w:rPr/>
        <w:t xml:space="preserve">7. Płatność każdej faktury następuje w terminie </w:t>
      </w:r>
      <w:r>
        <w:rPr>
          <w:b/>
        </w:rPr>
        <w:t>7 dni</w:t>
      </w:r>
      <w:r>
        <w:rPr/>
        <w:t xml:space="preserve"> od jej doręczenia, przelewem na rachunek bankowy Wykonawcy nr ………………………………………………… </w:t>
      </w:r>
      <w:r>
        <w:rPr>
          <w:b/>
        </w:rPr>
        <w:t>albo gotówką</w:t>
      </w:r>
      <w:r>
        <w:rPr/>
        <w:t>. Zapłatę gotówką Wykonawca potwierdza pisemnie na fakturze albo odrębnym pokwitowaniem. Za dzień zapłaty uważa się dzień obciążenia rachunku Zamawiającego albo dzień wydania gotówki.</w:t>
      </w:r>
    </w:p>
    <w:p>
      <w:pPr>
        <w:keepNext/>
        <w:spacing w:before="200"/>
      </w:pPr>
      <w:r>
        <w:rPr>
          <w:b/>
          <w:sz w:val="24"/>
        </w:rPr>
        <w:t>§ 5. Materiały</w:t>
      </w:r>
    </w:p>
    <w:p>
      <w:r>
        <w:rPr/>
        <w:t>1. Materiały nawierzchniowe dostarcza Zamawiający: kostkę betonową, płyty betonowe, gres, palisadę, stopnie, obrzeża betonowe i obrzeża z tworzywa, zgodnie z Załącznikiem nr 2. Ich wartość nie wchodzi do wynagrodzenia Wykonawcy.</w:t>
      </w:r>
    </w:p>
    <w:p>
      <w:r>
        <w:rPr/>
        <w:t xml:space="preserve">2. Zamawiający zwraca uwagę, że </w:t>
      </w:r>
      <w:r>
        <w:rPr>
          <w:b/>
        </w:rPr>
        <w:t>trzy pozycje materiałowe nie mają żadnego zapasu</w:t>
      </w:r>
      <w:r>
        <w:rPr/>
        <w:t xml:space="preserve"> — stopnie Livello Uni silexo, płyta Mayesto 80×80 bello oraz płyta Drewbet MF 100×100. Przy nich jedna sztuka uszkodzona wstrzymuje robotę do następnej dostawy. Wykaz nadmiarów stanowi Załącznik nr 2.</w:t>
      </w:r>
    </w:p>
    <w:p>
      <w:r>
        <w:rPr/>
        <w:t xml:space="preserve">3. Uszkodzenie, zagubienie lub błędne docięcie materiału z przyczyn leżących po stronie Wykonawcy </w:t>
      </w:r>
      <w:r>
        <w:rPr>
          <w:b/>
        </w:rPr>
        <w:t>nie wpływa na terminy</w:t>
      </w:r>
      <w:r>
        <w:rPr/>
        <w:t xml:space="preserve"> określone w § 3. Zamawiający dołoży starań, aby możliwie szybko zamówić element zamienny; termin dostawy zależy od dostawcy i Zamawiający nie odpowiada za jego przekroczenie.</w:t>
      </w:r>
      <w:r>
        <w:br/>
      </w:r>
      <w:r>
        <w:rPr/>
        <w:t>4. Materiał pozostały po robotach stanowi własność Zamawiającego i zostaje mu przekazany przy odbiorze końcowym. Palety Wykonawca wydaje na bieżąco, w miarę ich opróżniania.</w:t>
      </w:r>
    </w:p>
    <w:p>
      <w:pPr>
        <w:keepNext/>
        <w:spacing w:before="200"/>
      </w:pPr>
      <w:r>
        <w:rPr>
          <w:b/>
          <w:sz w:val="24"/>
        </w:rPr>
        <w:t>§ 6. Wykonanie techniczne</w:t>
      </w:r>
    </w:p>
    <w:p>
      <w:r>
        <w:rPr/>
        <w:t>1. Konstrukcję podbudowy określa poniższa tabela.</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8E8E8"/>
          </w:tcPr>
          <w:p>
            <w:pPr>
              <w:spacing w:after="0"/>
            </w:pPr>
            <w:r/>
            <w:r>
              <w:rPr>
                <w:b/>
                <w:sz w:val="17"/>
              </w:rPr>
              <w:t>konstrukcja</w:t>
            </w:r>
          </w:p>
        </w:tc>
        <w:tc>
          <w:tcPr>
            <w:tcW w:type="dxa" w:w="1994"/>
            <w:shd w:val="clear" w:color="auto" w:fill="E8E8E8"/>
          </w:tcPr>
          <w:p>
            <w:pPr>
              <w:spacing w:after="0"/>
            </w:pPr>
            <w:r/>
            <w:r>
              <w:rPr>
                <w:b/>
                <w:sz w:val="17"/>
              </w:rPr>
              <w:t>konstrukcja projektowa — arkusz 13</w:t>
            </w:r>
          </w:p>
        </w:tc>
        <w:tc>
          <w:tcPr>
            <w:tcW w:type="dxa" w:w="1994"/>
            <w:shd w:val="clear" w:color="auto" w:fill="E8E8E8"/>
          </w:tcPr>
          <w:p>
            <w:pPr>
              <w:spacing w:after="0"/>
            </w:pPr>
            <w:r/>
            <w:r>
              <w:rPr>
                <w:b/>
                <w:sz w:val="17"/>
              </w:rPr>
              <w:t>pow. lic</w:t>
            </w:r>
          </w:p>
        </w:tc>
        <w:tc>
          <w:tcPr>
            <w:tcW w:type="dxa" w:w="1994"/>
            <w:shd w:val="clear" w:color="auto" w:fill="E8E8E8"/>
          </w:tcPr>
          <w:p>
            <w:pPr>
              <w:spacing w:after="0"/>
            </w:pPr>
            <w:r/>
            <w:r>
              <w:rPr>
                <w:b/>
                <w:sz w:val="17"/>
              </w:rPr>
              <w:t>obmiar +15 cm</w:t>
            </w:r>
          </w:p>
        </w:tc>
        <w:tc>
          <w:tcPr>
            <w:tcW w:type="dxa" w:w="1994"/>
            <w:shd w:val="clear" w:color="auto" w:fill="E8E8E8"/>
          </w:tcPr>
          <w:p>
            <w:pPr>
              <w:spacing w:after="0"/>
            </w:pPr>
            <w:r/>
            <w:r>
              <w:rPr>
                <w:b/>
                <w:sz w:val="17"/>
              </w:rPr>
              <w:t>warstwy i grubości wg Wykonawcy</w:t>
            </w:r>
          </w:p>
        </w:tc>
      </w:tr>
      <w:tr>
        <w:tc>
          <w:tcPr>
            <w:tcW w:type="dxa" w:w="1994"/>
          </w:tcPr>
          <w:p>
            <w:pPr>
              <w:spacing w:after="0"/>
            </w:pPr>
            <w:r/>
            <w:r>
              <w:rPr>
                <w:sz w:val="17"/>
              </w:rPr>
              <w:t>KO — podjazd, miejsca postojowe (ruch do 5 t)</w:t>
            </w:r>
          </w:p>
        </w:tc>
        <w:tc>
          <w:tcPr>
            <w:tcW w:type="dxa" w:w="1994"/>
          </w:tcPr>
          <w:p>
            <w:pPr>
              <w:spacing w:after="0"/>
            </w:pPr>
            <w:r/>
            <w:r>
              <w:rPr>
                <w:sz w:val="17"/>
              </w:rPr>
              <w:t>52 cm: kruszywo 0/63 gr. 20 + 0/31,5 gr. 20; Is ≥ 1,00; podsypka cem.-piaskowa 1:4 gr. 3–5 cm</w:t>
            </w:r>
          </w:p>
        </w:tc>
        <w:tc>
          <w:tcPr>
            <w:tcW w:type="dxa" w:w="1994"/>
          </w:tcPr>
          <w:p>
            <w:pPr>
              <w:spacing w:after="0"/>
            </w:pPr>
            <w:r/>
            <w:r>
              <w:rPr>
                <w:sz w:val="17"/>
              </w:rPr>
              <w:t>56,50 m²</w:t>
            </w:r>
          </w:p>
        </w:tc>
        <w:tc>
          <w:tcPr>
            <w:tcW w:type="dxa" w:w="1994"/>
          </w:tcPr>
          <w:p>
            <w:pPr>
              <w:spacing w:after="0"/>
            </w:pPr>
            <w:r/>
            <w:r>
              <w:rPr>
                <w:sz w:val="17"/>
              </w:rPr>
              <w:t>61,50 m²</w:t>
            </w:r>
          </w:p>
        </w:tc>
        <w:tc>
          <w:tcPr>
            <w:tcW w:type="dxa" w:w="1994"/>
          </w:tcPr>
          <w:p>
            <w:pPr>
              <w:spacing w:after="0"/>
            </w:pPr>
            <w:r/>
          </w:p>
        </w:tc>
      </w:tr>
      <w:tr>
        <w:tc>
          <w:tcPr>
            <w:tcW w:type="dxa" w:w="1994"/>
          </w:tcPr>
          <w:p>
            <w:pPr>
              <w:spacing w:after="0"/>
            </w:pPr>
            <w:r/>
            <w:r>
              <w:rPr>
                <w:sz w:val="17"/>
              </w:rPr>
              <w:t>P — ciągi piesze</w:t>
            </w:r>
          </w:p>
        </w:tc>
        <w:tc>
          <w:tcPr>
            <w:tcW w:type="dxa" w:w="1994"/>
          </w:tcPr>
          <w:p>
            <w:pPr>
              <w:spacing w:after="0"/>
            </w:pPr>
            <w:r/>
            <w:r>
              <w:rPr>
                <w:sz w:val="17"/>
              </w:rPr>
              <w:t>26 cm: kruszywo 0/31,5 gr. 15; Is ≥ 0,97; podsypka cem.-piaskowa 1:4 gr. 3–5 cm</w:t>
            </w:r>
          </w:p>
        </w:tc>
        <w:tc>
          <w:tcPr>
            <w:tcW w:type="dxa" w:w="1994"/>
          </w:tcPr>
          <w:p>
            <w:pPr>
              <w:spacing w:after="0"/>
            </w:pPr>
            <w:r/>
            <w:r>
              <w:rPr>
                <w:sz w:val="17"/>
              </w:rPr>
              <w:t>123,93 m²</w:t>
            </w:r>
          </w:p>
        </w:tc>
        <w:tc>
          <w:tcPr>
            <w:tcW w:type="dxa" w:w="1994"/>
          </w:tcPr>
          <w:p>
            <w:pPr>
              <w:spacing w:after="0"/>
            </w:pPr>
            <w:r/>
            <w:r>
              <w:rPr>
                <w:sz w:val="17"/>
              </w:rPr>
              <w:t>157,94 m²</w:t>
            </w:r>
          </w:p>
        </w:tc>
        <w:tc>
          <w:tcPr>
            <w:tcW w:type="dxa" w:w="1994"/>
          </w:tcPr>
          <w:p>
            <w:pPr>
              <w:spacing w:after="0"/>
            </w:pPr>
            <w:r/>
          </w:p>
        </w:tc>
      </w:tr>
      <w:tr>
        <w:tc>
          <w:tcPr>
            <w:tcW w:type="dxa" w:w="1994"/>
          </w:tcPr>
          <w:p>
            <w:pPr>
              <w:spacing w:after="0"/>
            </w:pPr>
            <w:r/>
            <w:r>
              <w:rPr>
                <w:sz w:val="17"/>
              </w:rPr>
              <w:t>G — pod gres 20 mm</w:t>
            </w:r>
          </w:p>
        </w:tc>
        <w:tc>
          <w:tcPr>
            <w:tcW w:type="dxa" w:w="1994"/>
          </w:tcPr>
          <w:p>
            <w:pPr>
              <w:spacing w:after="0"/>
            </w:pPr>
            <w:r/>
            <w:r>
              <w:rPr>
                <w:sz w:val="17"/>
              </w:rPr>
              <w:t>21 cm: kruszywo 0/31,5 gr. 15 stabilizowane mechanicznie + podsypka z grysu płukanego 2/5</w:t>
            </w:r>
          </w:p>
        </w:tc>
        <w:tc>
          <w:tcPr>
            <w:tcW w:type="dxa" w:w="1994"/>
          </w:tcPr>
          <w:p>
            <w:pPr>
              <w:spacing w:after="0"/>
            </w:pPr>
            <w:r/>
            <w:r>
              <w:rPr>
                <w:sz w:val="17"/>
              </w:rPr>
              <w:t>47,85 m²</w:t>
            </w:r>
          </w:p>
        </w:tc>
        <w:tc>
          <w:tcPr>
            <w:tcW w:type="dxa" w:w="1994"/>
          </w:tcPr>
          <w:p>
            <w:pPr>
              <w:spacing w:after="0"/>
            </w:pPr>
            <w:r/>
            <w:r>
              <w:rPr>
                <w:sz w:val="17"/>
              </w:rPr>
              <w:t>54,94 m²</w:t>
            </w:r>
          </w:p>
        </w:tc>
        <w:tc>
          <w:tcPr>
            <w:tcW w:type="dxa" w:w="1994"/>
          </w:tcPr>
          <w:p>
            <w:pPr>
              <w:spacing w:after="0"/>
            </w:pPr>
            <w:r/>
          </w:p>
        </w:tc>
      </w:tr>
    </w:tbl>
    <w:p>
      <w:pPr>
        <w:spacing w:after="0"/>
      </w:pPr>
    </w:p>
    <w:p>
      <w:r>
        <w:rPr/>
        <w:t>2. Pod całością konstrukcji układa się geowłókninę separacyjną 200 g/m². Zagęszczanie prowadzi się warstwami o grubości nie większej niż 15 cm.</w:t>
      </w:r>
    </w:p>
    <w:p>
      <w:r>
        <w:rPr/>
        <w:t xml:space="preserve">3. </w:t>
      </w:r>
      <w:r>
        <w:rPr>
          <w:b/>
        </w:rPr>
        <w:t>KONSTRUKCJĘ KO PROJEKTUJE SIĘ NA RUCH POJAZDÓW O DOPUSZCZALNEJ MASIE CAŁKOWITEJ DO 5 t</w:t>
      </w:r>
      <w:r>
        <w:rPr/>
        <w:t>. Wzór z ust. 1 stanowi minimum. Jeżeli w ocenie Wykonawcy nie zapewnia on nośności dla tego obciążenia przy zastanym podłożu gruntowym, Wykonawca wskazuje w tabeli konstrukcję odpowiednio wzmocnioną i podaje jej cenę przed zawarciem umowy.</w:t>
      </w:r>
    </w:p>
    <w:p>
      <w:r>
        <w:rPr/>
        <w:t>4. Sposób skalkulowania ceny podbudowy — osobno dla każdej konstrukcji albo jedną uśrednioną stawką — pozostaje w gestii Wykonawcy.</w:t>
      </w:r>
    </w:p>
    <w:p>
      <w:r>
        <w:rPr/>
        <w:t xml:space="preserve">5. Spadki nawierzchni odkrytych wynoszą </w:t>
      </w:r>
      <w:r>
        <w:rPr>
          <w:b/>
        </w:rPr>
        <w:t>min. 1,5 %</w:t>
      </w:r>
      <w:r>
        <w:rPr/>
        <w:t xml:space="preserve">, zawsze od budynku. Taras zadaszony — </w:t>
      </w:r>
      <w:r>
        <w:rPr>
          <w:b/>
        </w:rPr>
        <w:t>1,0 %, dwuspadowo, prostopadle do elewacji — SPADEK DO UZGODNIENIA STRON przed rozpoczęciem sekcji S2</w:t>
      </w:r>
      <w:r>
        <w:rPr/>
        <w:t>. Zastoiny wody są niedopuszczalne i sprawdzane polewaniem przy odbiorze.</w:t>
      </w:r>
    </w:p>
    <w:p>
      <w:r>
        <w:rPr/>
        <w:t xml:space="preserve">6. W platformie Wykonawca wykonuje </w:t>
      </w:r>
      <w:r>
        <w:rPr>
          <w:b/>
        </w:rPr>
        <w:t>BETONOWE STOPY POD KOTWIENIE DOMKU</w:t>
      </w:r>
      <w:r>
        <w:rPr/>
        <w:t xml:space="preserve">. Stopy wykonuje się z betonu zwykłego, bez zbrojenia, przed ułożeniem podsypki i kostki. </w:t>
      </w:r>
      <w:r>
        <w:rPr>
          <w:b/>
        </w:rPr>
        <w:t>STOPY POZOSTAJĄ ZAKRYTE NAWIERZCHNIĄ</w:t>
      </w:r>
      <w:r>
        <w:rPr/>
        <w:t xml:space="preserve">: ich wierzch wypada pod podsypką, a kostkę układa się nad nimi bez przerw i bez docinania. Kotwienie domku nastąpi po jego ustawieniu, przez nawierzchnię w stopę. Rozmieszczenie stóp Zamawiający wskaże przed rozpoczęciem sekcji S1; stopy wykonuje się </w:t>
      </w:r>
      <w:r>
        <w:rPr>
          <w:b/>
        </w:rPr>
        <w:t>z zapasem wymiarowym</w:t>
      </w:r>
      <w:r>
        <w:rPr/>
        <w:t xml:space="preserve"> pozwalającym trafić w nie kotwą mimo tolerancji ustawienia domku. Na tych samych zasadach Wykonawca wykonuje </w:t>
      </w:r>
      <w:r>
        <w:rPr>
          <w:b/>
        </w:rPr>
        <w:t>4 BETONOWE STOPY POD KOTWIENIE ŚMIETNIKA</w:t>
      </w:r>
      <w:r>
        <w:rPr/>
        <w:t>, zakryte nawierzchnią z płyt Drewbet MF 100×100 w sekcji S5; ich rozmieszczenie Zamawiający wskaże przed rozpoczęciem tej sekcji.</w:t>
      </w:r>
    </w:p>
    <w:p>
      <w:r>
        <w:rPr/>
        <w:t xml:space="preserve">7. Strony potwierdzają zakres i sposób rozliczenia poniższych pozycji. Pozycje oznaczone </w:t>
      </w:r>
      <w:r>
        <w:rPr>
          <w:b/>
        </w:rPr>
        <w:t>„W CENIE"</w:t>
      </w:r>
      <w:r>
        <w:rPr/>
        <w:t xml:space="preserve"> są objęte wynagrodzeniem z § 4 ust. 1. Pozycje oznaczone </w:t>
      </w:r>
      <w:r>
        <w:rPr>
          <w:b/>
        </w:rPr>
        <w:t>„DO WYCENY"</w:t>
      </w:r>
      <w:r>
        <w:rPr/>
        <w:t xml:space="preserve"> nie są nim objęte i wymagają odrębnego pisemnego zlecenia (§ 11 ust. 1) albo aneksu podwyższającego wynagrodzenie.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8E8E8"/>
          </w:tcPr>
          <w:p>
            <w:pPr>
              <w:spacing w:after="0"/>
            </w:pPr>
            <w:r/>
            <w:r>
              <w:rPr>
                <w:b/>
                <w:sz w:val="17"/>
              </w:rPr>
              <w:t>pozycja</w:t>
            </w:r>
          </w:p>
        </w:tc>
        <w:tc>
          <w:tcPr>
            <w:tcW w:type="dxa" w:w="3324"/>
            <w:shd w:val="clear" w:color="auto" w:fill="E8E8E8"/>
          </w:tcPr>
          <w:p>
            <w:pPr>
              <w:spacing w:after="0"/>
            </w:pPr>
            <w:r/>
            <w:r>
              <w:rPr>
                <w:b/>
                <w:sz w:val="17"/>
              </w:rPr>
              <w:t>ilość</w:t>
            </w:r>
          </w:p>
        </w:tc>
        <w:tc>
          <w:tcPr>
            <w:tcW w:type="dxa" w:w="3324"/>
            <w:shd w:val="clear" w:color="auto" w:fill="E8E8E8"/>
          </w:tcPr>
          <w:p>
            <w:pPr>
              <w:spacing w:after="0"/>
            </w:pPr>
            <w:r/>
            <w:r>
              <w:rPr>
                <w:b/>
                <w:sz w:val="17"/>
              </w:rPr>
              <w:t>rozliczenie</w:t>
            </w:r>
          </w:p>
        </w:tc>
      </w:tr>
      <w:tr>
        <w:tc>
          <w:tcPr>
            <w:tcW w:type="dxa" w:w="3324"/>
          </w:tcPr>
          <w:p>
            <w:pPr>
              <w:spacing w:after="0"/>
            </w:pPr>
            <w:r/>
            <w:r>
              <w:rPr>
                <w:sz w:val="17"/>
              </w:rPr>
              <w:t>obrzeża geoBORD 58 i 78 — układanie i kotwienie szpilkami</w:t>
            </w:r>
          </w:p>
        </w:tc>
        <w:tc>
          <w:tcPr>
            <w:tcW w:type="dxa" w:w="3324"/>
          </w:tcPr>
          <w:p>
            <w:pPr>
              <w:spacing w:after="0"/>
            </w:pPr>
            <w:r/>
            <w:r>
              <w:rPr>
                <w:sz w:val="17"/>
              </w:rPr>
              <w:t>129,08 mb</w:t>
            </w:r>
          </w:p>
        </w:tc>
        <w:tc>
          <w:tcPr>
            <w:tcW w:type="dxa" w:w="3324"/>
          </w:tcPr>
          <w:p>
            <w:pPr>
              <w:spacing w:after="0"/>
            </w:pPr>
            <w:r/>
            <w:r>
              <w:rPr>
                <w:sz w:val="17"/>
              </w:rPr>
              <w:t>W CENIE</w:t>
            </w:r>
          </w:p>
        </w:tc>
      </w:tr>
      <w:tr>
        <w:tc>
          <w:tcPr>
            <w:tcW w:type="dxa" w:w="3324"/>
          </w:tcPr>
          <w:p>
            <w:pPr>
              <w:spacing w:after="0"/>
            </w:pPr>
            <w:r/>
            <w:r>
              <w:rPr>
                <w:sz w:val="17"/>
              </w:rPr>
              <w:t>obrzeże Livio Grande 50×40×8 silexo na ławie betonowej</w:t>
            </w:r>
          </w:p>
        </w:tc>
        <w:tc>
          <w:tcPr>
            <w:tcW w:type="dxa" w:w="3324"/>
          </w:tcPr>
          <w:p>
            <w:pPr>
              <w:spacing w:after="0"/>
            </w:pPr>
            <w:r/>
            <w:r>
              <w:rPr>
                <w:sz w:val="17"/>
              </w:rPr>
              <w:t>56,83 mb / 118 szt</w:t>
            </w:r>
          </w:p>
        </w:tc>
        <w:tc>
          <w:tcPr>
            <w:tcW w:type="dxa" w:w="3324"/>
          </w:tcPr>
          <w:p>
            <w:pPr>
              <w:spacing w:after="0"/>
            </w:pPr>
            <w:r/>
            <w:r>
              <w:rPr>
                <w:sz w:val="17"/>
              </w:rPr>
              <w:t>W CENIE</w:t>
            </w:r>
          </w:p>
        </w:tc>
      </w:tr>
      <w:tr>
        <w:tc>
          <w:tcPr>
            <w:tcW w:type="dxa" w:w="3324"/>
          </w:tcPr>
          <w:p>
            <w:pPr>
              <w:spacing w:after="0"/>
            </w:pPr>
            <w:r/>
            <w:r>
              <w:rPr>
                <w:sz w:val="17"/>
              </w:rPr>
              <w:t>wypełnienie spoin i zagęszczenie nawierzchni — robocizna i materiał</w:t>
            </w:r>
          </w:p>
        </w:tc>
        <w:tc>
          <w:tcPr>
            <w:tcW w:type="dxa" w:w="3324"/>
          </w:tcPr>
          <w:p>
            <w:pPr>
              <w:spacing w:after="0"/>
            </w:pPr>
            <w:r/>
            <w:r>
              <w:rPr>
                <w:sz w:val="17"/>
              </w:rPr>
              <w:t>228,28 m²</w:t>
            </w:r>
          </w:p>
        </w:tc>
        <w:tc>
          <w:tcPr>
            <w:tcW w:type="dxa" w:w="3324"/>
          </w:tcPr>
          <w:p>
            <w:pPr>
              <w:spacing w:after="0"/>
            </w:pPr>
            <w:r/>
            <w:r>
              <w:rPr>
                <w:sz w:val="17"/>
              </w:rPr>
              <w:t>W CENIE</w:t>
            </w:r>
          </w:p>
        </w:tc>
      </w:tr>
      <w:tr>
        <w:tc>
          <w:tcPr>
            <w:tcW w:type="dxa" w:w="3324"/>
          </w:tcPr>
          <w:p>
            <w:pPr>
              <w:spacing w:after="0"/>
            </w:pPr>
            <w:r/>
            <w:r>
              <w:rPr>
                <w:sz w:val="17"/>
              </w:rPr>
              <w:t>wbudowanie pokrywy włazu studni kablowej — materiał dostarcza Zamawiający</w:t>
            </w:r>
          </w:p>
        </w:tc>
        <w:tc>
          <w:tcPr>
            <w:tcW w:type="dxa" w:w="3324"/>
          </w:tcPr>
          <w:p>
            <w:pPr>
              <w:spacing w:after="0"/>
            </w:pPr>
            <w:r/>
            <w:r>
              <w:rPr>
                <w:sz w:val="17"/>
              </w:rPr>
              <w:t>wg obejścia terenu</w:t>
            </w:r>
          </w:p>
        </w:tc>
        <w:tc>
          <w:tcPr>
            <w:tcW w:type="dxa" w:w="3324"/>
          </w:tcPr>
          <w:p>
            <w:pPr>
              <w:spacing w:after="0"/>
            </w:pPr>
            <w:r/>
            <w:r>
              <w:rPr>
                <w:sz w:val="17"/>
              </w:rPr>
              <w:t>W CENIE</w:t>
            </w:r>
          </w:p>
        </w:tc>
      </w:tr>
      <w:tr>
        <w:tc>
          <w:tcPr>
            <w:tcW w:type="dxa" w:w="3324"/>
          </w:tcPr>
          <w:p>
            <w:pPr>
              <w:spacing w:after="0"/>
            </w:pPr>
            <w:r/>
            <w:r>
              <w:rPr>
                <w:sz w:val="17"/>
              </w:rPr>
              <w:t>ława betonowa pod obrzeża i krawężniki — robocizna i beton</w:t>
            </w:r>
          </w:p>
        </w:tc>
        <w:tc>
          <w:tcPr>
            <w:tcW w:type="dxa" w:w="3324"/>
          </w:tcPr>
          <w:p>
            <w:pPr>
              <w:spacing w:after="0"/>
            </w:pPr>
            <w:r/>
            <w:r>
              <w:rPr>
                <w:sz w:val="17"/>
              </w:rPr>
              <w:t>ok. 175 mb</w:t>
            </w:r>
          </w:p>
        </w:tc>
        <w:tc>
          <w:tcPr>
            <w:tcW w:type="dxa" w:w="3324"/>
          </w:tcPr>
          <w:p>
            <w:pPr>
              <w:spacing w:after="0"/>
            </w:pPr>
            <w:r/>
            <w:r>
              <w:rPr>
                <w:sz w:val="17"/>
              </w:rPr>
              <w:t>W CENIE — technologia wg ust. 8</w:t>
            </w:r>
          </w:p>
        </w:tc>
      </w:tr>
      <w:tr>
        <w:tc>
          <w:tcPr>
            <w:tcW w:type="dxa" w:w="3324"/>
          </w:tcPr>
          <w:p>
            <w:pPr>
              <w:spacing w:after="0"/>
            </w:pPr>
            <w:r/>
            <w:r>
              <w:rPr>
                <w:sz w:val="17"/>
              </w:rPr>
              <w:t>wytyczenie robót w terenie</w:t>
            </w:r>
          </w:p>
        </w:tc>
        <w:tc>
          <w:tcPr>
            <w:tcW w:type="dxa" w:w="3324"/>
          </w:tcPr>
          <w:p>
            <w:pPr>
              <w:spacing w:after="0"/>
            </w:pPr>
            <w:r/>
            <w:r>
              <w:rPr>
                <w:sz w:val="17"/>
              </w:rPr>
              <w:t>1 kpl.</w:t>
            </w:r>
          </w:p>
        </w:tc>
        <w:tc>
          <w:tcPr>
            <w:tcW w:type="dxa" w:w="3324"/>
          </w:tcPr>
          <w:p>
            <w:pPr>
              <w:spacing w:after="0"/>
            </w:pPr>
            <w:r/>
            <w:r>
              <w:rPr>
                <w:sz w:val="17"/>
              </w:rPr>
              <w:t>W CENIE / DO WYCENY</w:t>
            </w:r>
          </w:p>
        </w:tc>
      </w:tr>
      <w:tr>
        <w:tc>
          <w:tcPr>
            <w:tcW w:type="dxa" w:w="3324"/>
          </w:tcPr>
          <w:p>
            <w:pPr>
              <w:spacing w:after="0"/>
            </w:pPr>
            <w:r/>
            <w:r>
              <w:rPr>
                <w:sz w:val="17"/>
              </w:rPr>
              <w:t>studnia wodomierzowa — regulacja korpusu, pierścień odciążający, właz min. B125 wg PN-EN 124, nowe odpowietrzenie</w:t>
            </w:r>
          </w:p>
        </w:tc>
        <w:tc>
          <w:tcPr>
            <w:tcW w:type="dxa" w:w="3324"/>
          </w:tcPr>
          <w:p>
            <w:pPr>
              <w:spacing w:after="0"/>
            </w:pPr>
            <w:r/>
            <w:r>
              <w:rPr>
                <w:sz w:val="17"/>
              </w:rPr>
              <w:t>1 kpl.</w:t>
            </w:r>
          </w:p>
        </w:tc>
        <w:tc>
          <w:tcPr>
            <w:tcW w:type="dxa" w:w="3324"/>
          </w:tcPr>
          <w:p>
            <w:pPr>
              <w:spacing w:after="0"/>
            </w:pPr>
            <w:r/>
            <w:r>
              <w:rPr>
                <w:sz w:val="17"/>
              </w:rPr>
              <w:t>DO WYCENY: ……… zł</w:t>
            </w:r>
          </w:p>
        </w:tc>
      </w:tr>
      <w:tr>
        <w:tc>
          <w:tcPr>
            <w:tcW w:type="dxa" w:w="3324"/>
          </w:tcPr>
          <w:p>
            <w:pPr>
              <w:spacing w:after="0"/>
            </w:pPr>
            <w:r/>
            <w:r>
              <w:rPr>
                <w:sz w:val="17"/>
              </w:rPr>
              <w:t>stopy betonowe pod kotwienie domku narzędziowego i śmietnika (ust. 6) — robocizna i beton</w:t>
            </w:r>
          </w:p>
        </w:tc>
        <w:tc>
          <w:tcPr>
            <w:tcW w:type="dxa" w:w="3324"/>
          </w:tcPr>
          <w:p>
            <w:pPr>
              <w:spacing w:after="0"/>
            </w:pPr>
            <w:r/>
            <w:r>
              <w:rPr>
                <w:sz w:val="17"/>
              </w:rPr>
              <w:t>domek — wg wskazania Zamawiającego; śmietnik — 4 szt.</w:t>
            </w:r>
          </w:p>
        </w:tc>
        <w:tc>
          <w:tcPr>
            <w:tcW w:type="dxa" w:w="3324"/>
          </w:tcPr>
          <w:p>
            <w:pPr>
              <w:spacing w:after="0"/>
            </w:pPr>
            <w:r/>
            <w:r>
              <w:rPr>
                <w:sz w:val="17"/>
              </w:rPr>
              <w:t>DO WYCENY: ……… zł</w:t>
            </w:r>
          </w:p>
        </w:tc>
      </w:tr>
      <w:tr>
        <w:tc>
          <w:tcPr>
            <w:tcW w:type="dxa" w:w="3324"/>
          </w:tcPr>
          <w:p>
            <w:pPr>
              <w:spacing w:after="0"/>
            </w:pPr>
            <w:r/>
            <w:r>
              <w:rPr>
                <w:sz w:val="17"/>
              </w:rPr>
              <w:t>wywóz urobku wraz z utylizacją</w:t>
            </w:r>
          </w:p>
        </w:tc>
        <w:tc>
          <w:tcPr>
            <w:tcW w:type="dxa" w:w="3324"/>
          </w:tcPr>
          <w:p>
            <w:pPr>
              <w:spacing w:after="0"/>
            </w:pPr>
            <w:r/>
            <w:r>
              <w:rPr>
                <w:sz w:val="17"/>
              </w:rPr>
              <w:t>86–93 m³ luzem</w:t>
            </w:r>
          </w:p>
        </w:tc>
        <w:tc>
          <w:tcPr>
            <w:tcW w:type="dxa" w:w="3324"/>
          </w:tcPr>
          <w:p>
            <w:pPr>
              <w:spacing w:after="0"/>
            </w:pPr>
            <w:r/>
            <w:r>
              <w:rPr>
                <w:sz w:val="17"/>
              </w:rPr>
              <w:t>POZA UMOWĄ — zob. ust. 9</w:t>
            </w:r>
          </w:p>
        </w:tc>
      </w:tr>
    </w:tbl>
    <w:p>
      <w:pPr>
        <w:spacing w:after="0"/>
      </w:pPr>
    </w:p>
    <w:p>
      <w:r>
        <w:rPr/>
        <w:t>8. Ława betonowa pod obrzeża i krawężniki wchodzi do wynagrodzenia w technologii stosowanej przez Wykonawcę. Wykonawca podaje tę technologię przed zawarciem umowy: ……………………………………………………………………………… . Zmiana technologii po zawarciu umowy wymaga zgody Zamawiającego w formie dokumentowej.</w:t>
      </w:r>
    </w:p>
    <w:p>
      <w:r>
        <w:rPr/>
        <w:t xml:space="preserve">9. </w:t>
      </w:r>
      <w:r>
        <w:rPr>
          <w:b/>
        </w:rPr>
        <w:t>WYWÓZ UROBKU NIE WCHODZI DO ZAKRESU UMOWY</w:t>
      </w:r>
      <w:r>
        <w:rPr/>
        <w:t xml:space="preserve"> ani do wynagrodzenia z § 4 ust. 1. Sposób jego wykonania i rozliczenia Strony uzgodnią odrębnie. Do czasu uzgodnienia Wykonawca składuje urobek w miejscu wskazanym przez Zamawiającego.</w:t>
      </w:r>
    </w:p>
    <w:p>
      <w:pPr>
        <w:keepNext/>
        <w:spacing w:before="200"/>
      </w:pPr>
      <w:r>
        <w:rPr>
          <w:b/>
          <w:sz w:val="24"/>
        </w:rPr>
        <w:t>§ 7. Opaska wzdłuż ogrodzenia — działka 8/11</w:t>
      </w:r>
    </w:p>
    <w:p>
      <w:r>
        <w:rPr/>
        <w:t xml:space="preserve">1. Sekcja S7 — krawężniki najazdowe w światłach bram i furtek (7,26 mb / 9 szt.) oraz obrzeże trawnikowe opaski przy ogrodzeniu frontowym (63,63 mb / 64 szt.), razem 70,89 mb — leży poza granicą nieruchomości Zamawiającego, </w:t>
      </w:r>
      <w:r>
        <w:rPr>
          <w:b/>
        </w:rPr>
        <w:t>na działce nr 8/11</w:t>
      </w:r>
      <w:r>
        <w:rPr/>
        <w:t xml:space="preserve"> w obrębie G-19 (KW LDM1/00067857/3), stanowiącej </w:t>
      </w:r>
      <w:r>
        <w:rPr>
          <w:b/>
        </w:rPr>
        <w:t>drogę wewnętrzną</w:t>
      </w:r>
      <w:r>
        <w:rPr/>
        <w:t>. Granica działki pokrywa się z linią ogrodzenia frontowego; opaska biegnie po drodze równolegle do ogrodzenia, licem zewnętrznym w linii 500 mm od niego, a krawężniki są z nią zlicowane.</w:t>
      </w:r>
    </w:p>
    <w:p>
      <w:r>
        <w:rPr/>
        <w:t xml:space="preserve">2. Działka 8/11 </w:t>
      </w:r>
      <w:r>
        <w:rPr>
          <w:b/>
        </w:rPr>
        <w:t>nie jest drogą publiczną</w:t>
      </w:r>
      <w:r>
        <w:rPr/>
        <w:t xml:space="preserve"> w rozumieniu ustawy z dnia 21 marca 1985 r. o drogach publicznych. Roboty nie wymagają zezwolenia zarządcy drogi ani nie podlegają opłacie za zajęcie pasa drogowego.</w:t>
      </w:r>
    </w:p>
    <w:p>
      <w:r>
        <w:rPr/>
        <w:t xml:space="preserve">3. Zamawiający oświadcza, że </w:t>
      </w:r>
      <w:r>
        <w:rPr>
          <w:b/>
        </w:rPr>
        <w:t>dysponuje prawem do wykonania robót</w:t>
      </w:r>
      <w:r>
        <w:rPr/>
        <w:t xml:space="preserve"> objętych sekcją S7 na działce 8/11 i bierze na siebie wszelkie uzgodnienia z pozostałymi współwłaścicielami tej działki. Wykonawca nie ponosi odpowiedzialności z tytułu tych uzgodnień.</w:t>
      </w:r>
    </w:p>
    <w:p>
      <w:r>
        <w:rPr/>
        <w:t xml:space="preserve">4. W pasie objętym sekcją S7 przebiega uzbrojenie podziemne: kanalizacja teletechniczna operatora TOYA Sp. z o.o. na głębokości ok. 1,0 m oraz kabel energetyczny bezpośrednio pod nią, na głębokości co najmniej 1,2 m. Oba biegną równolegle do opaski na całej jej długości. Dno wykopu pod ławę obrzeża wypada ok. 0,3 m poniżej terenu, a więc </w:t>
      </w:r>
      <w:r>
        <w:rPr>
          <w:b/>
        </w:rPr>
        <w:t>roboty objęte sekcją S7 tego uzbrojenia nie sięgają</w:t>
      </w:r>
      <w:r>
        <w:rPr/>
        <w:t>.</w:t>
      </w:r>
    </w:p>
    <w:p>
      <w:r>
        <w:rPr/>
        <w:t xml:space="preserve">5. Na powierzchni pasa znajdują się skrzynki przyłączy — elektryczna od południa oraz elektryczna i światłowodowa od północy. Zakończenie opaski przy skrzynkach Wykonawca </w:t>
      </w:r>
      <w:r>
        <w:rPr>
          <w:b/>
        </w:rPr>
        <w:t>DOPASOWUJE DO ICH RZECZYWISTEGO POŁOŻENIA, NAWIĄZUJĄC DO ROZWIĄZANIA ZASTOSOWANEGO PRZY SĄSIEDNIEJ NIERUCHOMOŚCI — ul. Perkalowa 10</w:t>
      </w:r>
      <w:r>
        <w:rPr/>
        <w:t>. Rozwiązanie to Zamawiający wskaże podczas obejścia terenu (§ 8 ust. 2). Wymiary z dokumentacji — 430 mm od skrzynki południowej i 1330 mm od północnej — mają charakter orientacyjny.</w:t>
      </w:r>
    </w:p>
    <w:p>
      <w:r>
        <w:rPr/>
        <w:t>6. Wykonawca zgłasza Zamawiającemu natrafienie na uzbrojenie nieopisane w ust. 4 i 5 przed jego zakryciem. Postanowienia § 8 ust. 3–5 stosuje się odpowiednio.</w:t>
      </w:r>
    </w:p>
    <w:p>
      <w:r>
        <w:rPr/>
        <w:t>7. W poprzek pasa przechodzą przyłącza gazu, wody i energii elektrycznej do nieruchomości. Ich przebieg wskazuje Zamawiający podczas obejścia, o którym mowa w § 8 ust. 2.</w:t>
      </w:r>
    </w:p>
    <w:p>
      <w:r>
        <w:rPr/>
        <w:t xml:space="preserve">8. Droga wewnętrzna pozostaje w użytkowaniu pozostałych współwłaścicieli. Wykonawca prowadzi roboty w sposób </w:t>
      </w:r>
      <w:r>
        <w:rPr>
          <w:b/>
        </w:rPr>
        <w:t>niewyłączający przejazdu</w:t>
      </w:r>
      <w:r>
        <w:rPr/>
        <w:t xml:space="preserve">, oznakowuje miejsce robót, a po ich zakończeniu odtwarza nawierzchnię drogi naruszoną robotami do stanu sprzed ich rozpoczęcia, z użyciem </w:t>
      </w:r>
      <w:r>
        <w:rPr>
          <w:b/>
        </w:rPr>
        <w:t>DESTRUKTU</w:t>
      </w:r>
      <w:r>
        <w:rPr/>
        <w:t xml:space="preserve">. Jeżeli destruktu pozyskanego z rozbiórki zabraknie, </w:t>
      </w:r>
      <w:r>
        <w:rPr>
          <w:b/>
        </w:rPr>
        <w:t>Zamawiający dokupi go na własny koszt</w:t>
      </w:r>
      <w:r>
        <w:rPr/>
        <w:t>; wbudowanie pozostaje po stronie Wykonawcy.</w:t>
      </w:r>
    </w:p>
    <w:p>
      <w:r>
        <w:rPr/>
        <w:t xml:space="preserve">9. Ruch pojazdów dostawczych na teren budowy przechodzi przez światło bramy garażowej, w którym osadzany jest krawężnik. Zaleca się wykonanie sekcji S7 po zakończeniu dostaw; jeżeli Wykonawca wykona ją wcześniej, </w:t>
      </w:r>
      <w:r>
        <w:rPr>
          <w:b/>
        </w:rPr>
        <w:t>ryzyko uszkodzenia osadzonych</w:t>
      </w:r>
      <w:r>
        <w:rPr/>
        <w:t xml:space="preserve"> elementów obciąża Wykonawcę.</w:t>
      </w:r>
    </w:p>
    <w:p>
      <w:pPr>
        <w:keepNext/>
        <w:spacing w:before="200"/>
      </w:pPr>
      <w:r>
        <w:rPr>
          <w:b/>
          <w:sz w:val="24"/>
        </w:rPr>
        <w:t>§ 8. Instalacje podziemne</w:t>
      </w:r>
    </w:p>
    <w:p>
      <w:r>
        <w:rPr/>
        <w:t xml:space="preserve">1. Pod projektowanymi nawierzchniami i w ich bezpośrednim sąsiedztwie przebiegają: peszle elektryczne ⌀25, ⌀50, ⌀75 i ⌀110 wraz ze studniami kablowymi 300×300 i 800×800 mm, instalacja wodociągowa i zasilanie retencji, kanalizacja sanitarna oraz poletka drenażowe, zbiorniki retencyjne, studnia ⌀900, skrzynia zaworów nawadniania 550×550 mm, spusty rynnowe wraz z rurami do zbiorników oraz </w:t>
      </w:r>
      <w:r>
        <w:rPr>
          <w:b/>
        </w:rPr>
        <w:t>przyłącze gazu</w:t>
      </w:r>
      <w:r>
        <w:rPr/>
        <w:t>.</w:t>
      </w:r>
    </w:p>
    <w:p>
      <w:r>
        <w:rPr/>
        <w:t xml:space="preserve">2. Przed rozpoczęciem robót ziemnych Strony dokonują wspólnego obejścia terenu, podczas którego Zamawiający wskazuje przebieg instalacji, a Wykonawca sporządza notatkę. Notatka stanowi Załącznik nr 4 i jest załącznikiem do protokołu przekazania terenu. Wskazane położenie ma dokładność </w:t>
      </w:r>
      <w:r>
        <w:rPr>
          <w:b/>
        </w:rPr>
        <w:t>± 0,5 m</w:t>
      </w:r>
      <w:r>
        <w:rPr/>
        <w:t>.</w:t>
      </w:r>
    </w:p>
    <w:p>
      <w:r>
        <w:rPr/>
        <w:t>3. Przed zasypaniem odkrytej instalacji Wykonawca wykonuje jej zdjęcie i przesyła je Zamawiającemu w formie dokumentowej.</w:t>
      </w:r>
    </w:p>
    <w:p>
      <w:r>
        <w:rPr/>
        <w:t xml:space="preserve">4. Rzędne pokryw studni kablowych, studni rewizyjnych i skrzynek muszą być zlicowane z gotową nawierzchnią z tolerancją </w:t>
      </w:r>
      <w:r>
        <w:rPr>
          <w:b/>
        </w:rPr>
        <w:t>± 3 mm</w:t>
      </w:r>
      <w:r>
        <w:rPr/>
        <w:t>, z zachowaniem spadku nawierzchni. Regulację wysokości Wykonawca wykonuje przed ułożeniem warstwy ścieralnej.</w:t>
      </w:r>
    </w:p>
    <w:p>
      <w:r>
        <w:rPr/>
        <w:t xml:space="preserve">5. </w:t>
      </w:r>
      <w:r>
        <w:rPr>
          <w:b/>
        </w:rPr>
        <w:t>Uszkodzenie instalacji obciąża Wykonawcę</w:t>
      </w:r>
      <w:r>
        <w:rPr/>
        <w:t xml:space="preserve"> i zostaje usunięte na jego koszt; Zamawiający może potrącić koszt naprawy z wynagrodzenia.</w:t>
      </w:r>
    </w:p>
    <w:p>
      <w:pPr>
        <w:keepNext/>
        <w:spacing w:before="200"/>
      </w:pPr>
      <w:r>
        <w:rPr>
          <w:b/>
          <w:sz w:val="24"/>
        </w:rPr>
        <w:t>§ 9. Odbiory</w:t>
      </w:r>
    </w:p>
    <w:p>
      <w:r>
        <w:rPr/>
        <w:t xml:space="preserve">1. Odbiór sekcji następuje protokolarnie i stanowi podstawę wymagalności odpowiedniej raty z § 4 ust. 3. Zamawiający zobowiązuje się przystąpić do odbioru sekcji </w:t>
      </w:r>
      <w:r>
        <w:rPr>
          <w:b/>
        </w:rPr>
        <w:t>niezwłocznie, najpóźniej w dniu zgłoszenia</w:t>
      </w:r>
      <w:r>
        <w:rPr/>
        <w:t>.</w:t>
      </w:r>
    </w:p>
    <w:p>
      <w:r>
        <w:rPr/>
        <w:t xml:space="preserve">2. Odbiór końcowy. Zamawiający przystępuje do odbioru w terminie </w:t>
      </w:r>
      <w:r>
        <w:rPr>
          <w:b/>
        </w:rPr>
        <w:t>5 dni roboczych</w:t>
      </w:r>
      <w:r>
        <w:rPr/>
        <w:t xml:space="preserve"> od zgłoszenia zakończenia robót. Sprawdzeniu podlegają: zgodność układu z dokumentacją, spadki i brak zastoin wody (próba polewania), równość i uskoki, szerokość i wypełnienie spoin, rzędne pokryw studni i skrzynek, czystość i uprzątnięcie terenu oraz zwrot materiału niewbudowanego.</w:t>
      </w:r>
    </w:p>
    <w:p>
      <w:r>
        <w:rPr/>
        <w:t xml:space="preserve">3. Wady istotne, uniemożliwiające użytkowanie zgodnie z przeznaczeniem — w tym zastoiny wody — uprawniają Zamawiającego do odmowy odbioru. Wady nieistotne odnotowuje się w protokole wraz z terminem usunięcia, nie dłuższym niż </w:t>
      </w:r>
      <w:r>
        <w:rPr>
          <w:b/>
        </w:rPr>
        <w:t>14 dni</w:t>
      </w:r>
      <w:r>
        <w:rPr/>
        <w:t>.</w:t>
      </w:r>
    </w:p>
    <w:p>
      <w:r>
        <w:rPr/>
        <w:t>4. Odbiór sekcji S7 obejmuje dodatkowo sprawdzenie odtworzenia nawierzchni drogi oraz przekazanie Zamawiającemu dokumentów wymaganych przez zarządcę drogi.</w:t>
      </w:r>
    </w:p>
    <w:p>
      <w:r>
        <w:rPr/>
        <w:t>5. Wzór protokołu odbioru stanowi Załącznik nr 3.</w:t>
      </w:r>
    </w:p>
    <w:p>
      <w:pPr>
        <w:keepNext/>
        <w:spacing w:before="200"/>
      </w:pPr>
      <w:r>
        <w:rPr>
          <w:b/>
          <w:sz w:val="24"/>
        </w:rPr>
        <w:t>§ 10. Gwarancja i rękojmia</w:t>
      </w:r>
    </w:p>
    <w:p>
      <w:r>
        <w:rPr/>
        <w:t xml:space="preserve">1. Wykonawca udziela gwarancji jakości na wykonane roboty na okres </w:t>
      </w:r>
      <w:r>
        <w:rPr>
          <w:b/>
        </w:rPr>
        <w:t>24 miesięcy</w:t>
      </w:r>
      <w:r>
        <w:rPr/>
        <w:t xml:space="preserve"> od dnia podpisania protokołu odbioru końcowego.</w:t>
      </w:r>
    </w:p>
    <w:p>
      <w:r>
        <w:rPr/>
        <w:t>2. Gwarancja obejmuje w szczególności: osiadanie nawierzchni, wypłukiwanie i ubytki spoin, przemieszczanie się elementów, pękanie i odspajanie płyt gresowych oraz utratę spadków.</w:t>
      </w:r>
    </w:p>
    <w:p>
      <w:r>
        <w:rPr/>
        <w:t>3. Gwarancja nie obejmuje: wykwitów wapiennych na kostce betonowej, różnic odcienia mieszczących się w tolerancji producenta, uszkodzeń mechanicznych powstałych po odbiorze z przyczyn niezależnych od Wykonawcy oraz skutków przekroczenia dopuszczalnego obciążenia nawierzchni, które ustala się następująco: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8E8E8"/>
          </w:tcPr>
          <w:p>
            <w:pPr>
              <w:spacing w:after="0"/>
            </w:pPr>
            <w:r/>
            <w:r>
              <w:rPr>
                <w:b/>
                <w:sz w:val="17"/>
              </w:rPr>
              <w:t>nawierzchnia</w:t>
            </w:r>
          </w:p>
        </w:tc>
        <w:tc>
          <w:tcPr>
            <w:tcW w:type="dxa" w:w="3324"/>
            <w:shd w:val="clear" w:color="auto" w:fill="E8E8E8"/>
          </w:tcPr>
          <w:p>
            <w:pPr>
              <w:spacing w:after="0"/>
            </w:pPr>
            <w:r/>
            <w:r>
              <w:rPr>
                <w:b/>
                <w:sz w:val="17"/>
              </w:rPr>
              <w:t>konstrukcja</w:t>
            </w:r>
          </w:p>
        </w:tc>
        <w:tc>
          <w:tcPr>
            <w:tcW w:type="dxa" w:w="3324"/>
            <w:shd w:val="clear" w:color="auto" w:fill="E8E8E8"/>
          </w:tcPr>
          <w:p>
            <w:pPr>
              <w:spacing w:after="0"/>
            </w:pPr>
            <w:r/>
            <w:r>
              <w:rPr>
                <w:b/>
                <w:sz w:val="17"/>
              </w:rPr>
              <w:t>dopuszczalny pojazd</w:t>
            </w:r>
          </w:p>
        </w:tc>
      </w:tr>
      <w:tr>
        <w:tc>
          <w:tcPr>
            <w:tcW w:type="dxa" w:w="3324"/>
          </w:tcPr>
          <w:p>
            <w:pPr>
              <w:spacing w:after="0"/>
            </w:pPr>
            <w:r/>
            <w:r>
              <w:rPr>
                <w:sz w:val="17"/>
              </w:rPr>
              <w:t>podjazd i miejsca postojowe</w:t>
            </w:r>
          </w:p>
        </w:tc>
        <w:tc>
          <w:tcPr>
            <w:tcW w:type="dxa" w:w="3324"/>
          </w:tcPr>
          <w:p>
            <w:pPr>
              <w:spacing w:after="0"/>
            </w:pPr>
            <w:r/>
            <w:r>
              <w:rPr>
                <w:sz w:val="17"/>
              </w:rPr>
              <w:t>Lundo 8 cm, konstrukcja KO</w:t>
            </w:r>
          </w:p>
        </w:tc>
        <w:tc>
          <w:tcPr>
            <w:tcW w:type="dxa" w:w="3324"/>
          </w:tcPr>
          <w:p>
            <w:pPr>
              <w:spacing w:after="0"/>
            </w:pPr>
            <w:r/>
            <w:r>
              <w:rPr>
                <w:sz w:val="17"/>
              </w:rPr>
              <w:t>pojazd o dmc do 5 t</w:t>
            </w:r>
          </w:p>
        </w:tc>
      </w:tr>
      <w:tr>
        <w:tc>
          <w:tcPr>
            <w:tcW w:type="dxa" w:w="3324"/>
          </w:tcPr>
          <w:p>
            <w:pPr>
              <w:spacing w:after="0"/>
            </w:pPr>
            <w:r/>
            <w:r>
              <w:rPr>
                <w:sz w:val="17"/>
              </w:rPr>
              <w:t>opaski, dojścia, placyki, ścieżka do warsztatu</w:t>
            </w:r>
          </w:p>
        </w:tc>
        <w:tc>
          <w:tcPr>
            <w:tcW w:type="dxa" w:w="3324"/>
          </w:tcPr>
          <w:p>
            <w:pPr>
              <w:spacing w:after="0"/>
            </w:pPr>
            <w:r/>
            <w:r>
              <w:rPr>
                <w:sz w:val="17"/>
              </w:rPr>
              <w:t>Lundo 6 cm</w:t>
            </w:r>
          </w:p>
        </w:tc>
        <w:tc>
          <w:tcPr>
            <w:tcW w:type="dxa" w:w="3324"/>
          </w:tcPr>
          <w:p>
            <w:pPr>
              <w:spacing w:after="0"/>
            </w:pPr>
            <w:r/>
            <w:r>
              <w:rPr>
                <w:sz w:val="17"/>
              </w:rPr>
              <w:t>wyłącznie ruch pieszy</w:t>
            </w:r>
          </w:p>
        </w:tc>
      </w:tr>
      <w:tr>
        <w:tc>
          <w:tcPr>
            <w:tcW w:type="dxa" w:w="3324"/>
          </w:tcPr>
          <w:p>
            <w:pPr>
              <w:spacing w:after="0"/>
            </w:pPr>
            <w:r/>
            <w:r>
              <w:rPr>
                <w:sz w:val="17"/>
              </w:rPr>
              <w:t>taras i wejście do domu</w:t>
            </w:r>
          </w:p>
        </w:tc>
        <w:tc>
          <w:tcPr>
            <w:tcW w:type="dxa" w:w="3324"/>
          </w:tcPr>
          <w:p>
            <w:pPr>
              <w:spacing w:after="0"/>
            </w:pPr>
            <w:r/>
            <w:r>
              <w:rPr>
                <w:sz w:val="17"/>
              </w:rPr>
              <w:t>gres 20 mm na podsypce</w:t>
            </w:r>
          </w:p>
        </w:tc>
        <w:tc>
          <w:tcPr>
            <w:tcW w:type="dxa" w:w="3324"/>
          </w:tcPr>
          <w:p>
            <w:pPr>
              <w:spacing w:after="0"/>
            </w:pPr>
            <w:r/>
            <w:r>
              <w:rPr>
                <w:sz w:val="17"/>
              </w:rPr>
              <w:t>wyłącznie ruch pieszy</w:t>
            </w:r>
          </w:p>
        </w:tc>
      </w:tr>
    </w:tbl>
    <w:p>
      <w:pPr>
        <w:spacing w:after="0"/>
      </w:pPr>
    </w:p>
    <w:p>
      <w:r>
        <w:rPr/>
        <w:t xml:space="preserve">4. Ruch pojazdów w trakcie robót, w tym dowóz materiału i praca sprzętu Wykonawcy, odbywa się </w:t>
      </w:r>
      <w:r>
        <w:rPr>
          <w:b/>
        </w:rPr>
        <w:t>na ryzyko Wykonawcy</w:t>
      </w:r>
      <w:r>
        <w:rPr/>
        <w:t>.</w:t>
      </w:r>
    </w:p>
    <w:p>
      <w:r>
        <w:rPr/>
        <w:t xml:space="preserve">5. Zgłoszenie wady następuje w formie dokumentowej. Wykonawca przystępuje do usunięcia wady w terminie </w:t>
      </w:r>
      <w:r>
        <w:rPr>
          <w:b/>
        </w:rPr>
        <w:t>30 dni</w:t>
      </w:r>
      <w:r>
        <w:rPr/>
        <w:t xml:space="preserve"> od zgłoszenia i usuwa ją w terminie </w:t>
      </w:r>
      <w:r>
        <w:rPr>
          <w:b/>
        </w:rPr>
        <w:t>60 dni</w:t>
      </w:r>
      <w:r>
        <w:rPr/>
        <w:t>, chyba że warunki atmosferyczne to uniemożliwiają.</w:t>
      </w:r>
    </w:p>
    <w:p>
      <w:r>
        <w:rPr/>
        <w:t xml:space="preserve">6. Gwarancja </w:t>
      </w:r>
      <w:r>
        <w:rPr>
          <w:b/>
        </w:rPr>
        <w:t>nie wyłącza ani nie ogranicza</w:t>
      </w:r>
      <w:r>
        <w:rPr/>
        <w:t xml:space="preserve"> uprawnień Zamawiającego z tytułu rękojmi.</w:t>
      </w:r>
    </w:p>
    <w:p>
      <w:pPr>
        <w:keepNext/>
        <w:spacing w:before="200"/>
      </w:pPr>
      <w:r>
        <w:rPr>
          <w:b/>
          <w:sz w:val="24"/>
        </w:rPr>
        <w:t>§ 11. Roboty dodatkowe i zmiany umowy</w:t>
      </w:r>
    </w:p>
    <w:p>
      <w:r>
        <w:rPr/>
        <w:t xml:space="preserve">1. Roboty nieobjęte niniejszą umową wymagają odrębnego pisemnego zlecenia z podaniem zakresu, ceny i terminu. Roboty wykonane bez takiego zlecenia </w:t>
      </w:r>
      <w:r>
        <w:rPr>
          <w:b/>
        </w:rPr>
        <w:t>nie podlegają zapłacie</w:t>
      </w:r>
      <w:r>
        <w:rPr/>
        <w:t>.</w:t>
      </w:r>
    </w:p>
    <w:p>
      <w:r>
        <w:rPr/>
        <w:t>2. Wykonawca niezwłocznie zgłasza konieczność wykonania robót dodatkowych ujawnioną w trakcie robót, w szczególności odmienne warunki gruntowe lub kolizję z instalacją.</w:t>
      </w:r>
    </w:p>
    <w:p>
      <w:r>
        <w:rPr/>
        <w:t>3. Zmiana materiału lub układu nawierzchni wymaga zgody Zamawiającego w formie dokumentowej.</w:t>
      </w:r>
    </w:p>
    <w:p>
      <w:r>
        <w:rPr/>
        <w:t xml:space="preserve">4. Zmiana umowy, odstąpienie od umowy i zlecenie robót dodatkowych wymagają </w:t>
      </w:r>
      <w:r>
        <w:rPr>
          <w:b/>
        </w:rPr>
        <w:t>formy pisemnej pod rygorem nieważności</w:t>
      </w:r>
      <w:r>
        <w:rPr/>
        <w:t>.</w:t>
      </w:r>
    </w:p>
    <w:p>
      <w:r>
        <w:rPr/>
        <w:t>5. Zgłoszenia do odbioru, zgłoszenia wad, uzgodnienia terminów i akceptacje rozwiązań technicznych mogą następować w formie dokumentowej, na adresy wskazane w § 13.</w:t>
      </w:r>
    </w:p>
    <w:p>
      <w:pPr>
        <w:keepNext/>
        <w:spacing w:before="200"/>
      </w:pPr>
      <w:r>
        <w:rPr>
          <w:b/>
          <w:sz w:val="24"/>
        </w:rPr>
        <w:t>§ 12. Odstąpienie od umowy</w:t>
      </w:r>
    </w:p>
    <w:p>
      <w:r>
        <w:rPr/>
        <w:t>1. Zamawiający może odstąpić od umowy, jeżeli Wykonawca:</w:t>
      </w:r>
    </w:p>
    <w:p>
      <w:pPr>
        <w:pStyle w:val="ListBullet"/>
      </w:pPr>
      <w:r>
        <w:rPr/>
        <w:t>a) nie rozpoczął robót w terminie 14 dni od umówionego terminu;</w:t>
      </w:r>
    </w:p>
    <w:p>
      <w:pPr>
        <w:pStyle w:val="ListBullet"/>
      </w:pPr>
      <w:r>
        <w:rPr/>
        <w:t>b) przerwał roboty na okres dłuższy niż 14 dni bez uzasadnionej przyczyny;</w:t>
      </w:r>
    </w:p>
    <w:p>
      <w:pPr>
        <w:pStyle w:val="ListBullet"/>
      </w:pPr>
      <w:r>
        <w:rPr/>
        <w:t>c) wykonuje roboty w sposób wadliwy lub sprzeczny z umową i nie zmienił sposobu wykonania mimo wezwania i wyznaczenia terminu nie krótszego niż 7 dni.</w:t>
      </w:r>
    </w:p>
    <w:p>
      <w:r>
        <w:rPr/>
        <w:t>2. Wykonawca może odstąpić od umowy, jeżeli Zamawiający pozostaje w zwłoce z zapłatą wymagalnej płatności dłużej niż 21 dni, po uprzednim wezwaniu.</w:t>
      </w:r>
    </w:p>
    <w:p>
      <w:r>
        <w:rPr/>
        <w:t>3. Zamawiający może odstąpić od umowy w części niewykonanej, płacąc Wykonawcy wynagrodzenie za roboty wykonane oraz udokumentowane koszty materiałów zamówionych i niemożliwych do zwrotu.</w:t>
      </w:r>
    </w:p>
    <w:p>
      <w:r>
        <w:rPr/>
        <w:t>4. Odstąpienie wymaga formy pisemnej pod rygorem nieważności i może nastąpić w terminie 30 dni od powzięcia wiadomości o przyczynie. W razie odstąpienia Strony sporządzają protokół inwentaryzacji robót w toku.</w:t>
      </w:r>
    </w:p>
    <w:p>
      <w:pPr>
        <w:keepNext/>
        <w:spacing w:before="200"/>
      </w:pPr>
      <w:r>
        <w:rPr>
          <w:b/>
          <w:sz w:val="24"/>
        </w:rPr>
        <w:t>§ 13. Postanowienia końcowe</w:t>
      </w:r>
    </w:p>
    <w:p>
      <w:r>
        <w:rPr/>
        <w:t>1. Wykonawca odpowiada za bezpieczeństwo na terenie robót i za przestrzeganie przepisów BHP przez osoby, którymi się posługuje. Od dnia przekazania terenu robót do odbioru końcowego Wykonawca ponosi odpowiedzialność za szkody powstałe na terenie robót, zabezpiecza teren przed dostępem osób trzecich i porządkuje go po każdym dniu pracy.</w:t>
      </w:r>
    </w:p>
    <w:p>
      <w:r>
        <w:rPr/>
        <w:t>2. Wykonawca oświadcza, że posiada ubezpieczenie OC działalności gospodarczej i przedstawi polisę na żądanie Zamawiającego.</w:t>
      </w:r>
    </w:p>
    <w:p>
      <w:r>
        <w:rPr/>
        <w:t>3. Powierzenie wykonania części robót podwykonawcy wymaga uprzedniej zgody Zamawiającego w formie dokumentowej. Za działania podwykonawców Wykonawca odpowiada jak za własne.</w:t>
      </w:r>
    </w:p>
    <w:p>
      <w:r>
        <w:rPr/>
        <w:t xml:space="preserve">4. Osoby do kontaktu: ze strony Zamawiającego — Piotr Zduniak, tel. </w:t>
      </w:r>
      <w:r>
        <w:rPr>
          <w:b/>
        </w:rPr>
        <w:t>502-278-624</w:t>
      </w:r>
      <w:r>
        <w:rPr/>
        <w:t xml:space="preserve">, e-mail </w:t>
      </w:r>
      <w:r>
        <w:rPr>
          <w:b/>
        </w:rPr>
        <w:t>piotr@zduniak.net</w:t>
      </w:r>
      <w:r>
        <w:rPr/>
        <w:t>; ze strony Wykonawcy — ……………………, tel. ……………………, e-mail …………………….</w:t>
      </w:r>
    </w:p>
    <w:p>
      <w:r>
        <w:rPr/>
        <w:t xml:space="preserve">5. Wszędzie, gdzie umowa przewiduje formę dokumentową, </w:t>
      </w:r>
      <w:r>
        <w:rPr>
          <w:b/>
        </w:rPr>
        <w:t>wystarczające jest przesłanie</w:t>
      </w:r>
      <w:r>
        <w:rPr/>
        <w:t xml:space="preserve"> wiadomości SMS na numer telefonu albo wiadomości e-mail na adres wskazany w ust. 4. Nie dotyczy to czynności, dla których umowa zastrzega formę pisemną pod rygorem nieważności (§ 11 ust. 4, § 12 ust. 4).</w:t>
      </w:r>
    </w:p>
    <w:p>
      <w:r>
        <w:rPr/>
        <w:t>6. W sprawach nieuregulowanych umową stosuje się przepisy Kodeksu cywilnego. Spory rozstrzyga sąd właściwy dla miejsca położenia nieruchomości.</w:t>
      </w:r>
    </w:p>
    <w:p>
      <w:r>
        <w:rPr/>
        <w:t>7. Umowę sporządzono w dwóch jednobrzmiących egzemplarzach, po jednym dla każdej ze Stron.</w:t>
      </w:r>
    </w:p>
    <w:p>
      <w:r>
        <w:rPr/>
        <w:t>8. Integralną część umowy stanowią załączniki:</w:t>
      </w:r>
    </w:p>
    <w:p>
      <w:pPr>
        <w:pStyle w:val="ListBullet"/>
      </w:pPr>
      <w:r>
        <w:rPr/>
        <w:t>a) Załącznik nr 1 — dokumentacja wykonawcza, arkusze 01–13;</w:t>
      </w:r>
    </w:p>
    <w:p>
      <w:pPr>
        <w:pStyle w:val="ListBullet"/>
      </w:pPr>
      <w:r>
        <w:rPr/>
        <w:t>b) Załącznik nr 2 — wykaz materiału powierzonego wraz z nadmiarami;</w:t>
      </w:r>
    </w:p>
    <w:p>
      <w:pPr>
        <w:pStyle w:val="ListBullet"/>
      </w:pPr>
      <w:r>
        <w:rPr/>
        <w:t>c) Załącznik nr 3 — wzór protokołu odbioru;</w:t>
      </w:r>
    </w:p>
    <w:p>
      <w:pPr>
        <w:pStyle w:val="ListBullet"/>
      </w:pPr>
      <w:r>
        <w:rPr/>
        <w:t>d) Załącznik nr 4 — notatka z obejścia terenu i wskazania instalacji.</w:t>
      </w:r>
    </w:p>
    <w:tbl>
      <w:tblPr>
        <w:tblStyle w:val="TableGrid"/>
        <w:tblW w:type="auto" w:w="0"/>
        <w:tblLook w:firstColumn="1" w:firstRow="1" w:lastColumn="0" w:lastRow="0" w:noHBand="0" w:noVBand="1" w:val="04A0"/>
      </w:tblPr>
      <w:tblGrid>
        <w:gridCol w:w="4986"/>
        <w:gridCol w:w="4986"/>
      </w:tblGrid>
      <w:tr>
        <w:tc>
          <w:tcPr>
            <w:tcW w:type="dxa" w:w="4986"/>
            <w:shd w:val="clear" w:color="auto" w:fill="E8E8E8"/>
          </w:tcPr>
          <w:p>
            <w:pPr>
              <w:spacing w:after="0"/>
            </w:pPr>
            <w:r/>
            <w:r>
              <w:rPr>
                <w:b/>
                <w:sz w:val="17"/>
              </w:rPr>
              <w:t>……………………………………</w:t>
            </w:r>
          </w:p>
        </w:tc>
        <w:tc>
          <w:tcPr>
            <w:tcW w:type="dxa" w:w="4986"/>
            <w:shd w:val="clear" w:color="auto" w:fill="E8E8E8"/>
          </w:tcPr>
          <w:p>
            <w:pPr>
              <w:spacing w:after="0"/>
            </w:pPr>
            <w:r/>
            <w:r>
              <w:rPr>
                <w:b/>
                <w:sz w:val="17"/>
              </w:rPr>
              <w:t>……………………………………</w:t>
            </w:r>
          </w:p>
        </w:tc>
      </w:tr>
      <w:tr>
        <w:tc>
          <w:tcPr>
            <w:tcW w:type="dxa" w:w="4986"/>
          </w:tcPr>
          <w:p>
            <w:pPr>
              <w:spacing w:after="0"/>
            </w:pPr>
            <w:r/>
            <w:r>
              <w:rPr>
                <w:sz w:val="17"/>
              </w:rPr>
              <w:t>ZAMAWIAJĄCY</w:t>
            </w:r>
          </w:p>
        </w:tc>
        <w:tc>
          <w:tcPr>
            <w:tcW w:type="dxa" w:w="4986"/>
          </w:tcPr>
          <w:p>
            <w:pPr>
              <w:spacing w:after="0"/>
            </w:pPr>
            <w:r/>
            <w:r>
              <w:rPr>
                <w:sz w:val="17"/>
              </w:rPr>
              <w:t>WYKONAWCA</w:t>
            </w:r>
          </w:p>
        </w:tc>
      </w:tr>
    </w:tbl>
    <w:p>
      <w:pPr>
        <w:spacing w:after="0"/>
      </w:pPr>
    </w:p>
    <w:p>
      <w:r>
        <w:br w:type="page"/>
      </w:r>
    </w:p>
    <w:p>
      <w:pPr>
        <w:keepNext/>
        <w:spacing w:before="80"/>
      </w:pPr>
      <w:r>
        <w:rPr>
          <w:b/>
          <w:sz w:val="28"/>
        </w:rPr>
        <w:t>Załącznik nr 1 — dokumentacja wykonawcza</w:t>
      </w:r>
    </w:p>
    <w:p>
      <w:r>
        <w:rPr/>
        <w:t>Dokumentacja „Nawierzchnia — rzut wykonawczy", przekazywana Wykonawcy w formie plików PDF oraz wydruków. Wymiary w milimetrach, wszystkie odmierzane od PUNKTU 0 — narożnika budynku mieszkalnego.</w:t>
      </w:r>
    </w:p>
    <w:tbl>
      <w:tblPr>
        <w:tblStyle w:val="TableGrid"/>
        <w:tblW w:type="auto" w:w="0"/>
        <w:tblLook w:firstColumn="1" w:firstRow="1" w:lastColumn="0" w:lastRow="0" w:noHBand="0" w:noVBand="1" w:val="04A0"/>
      </w:tblPr>
      <w:tblGrid>
        <w:gridCol w:w="4986"/>
        <w:gridCol w:w="4986"/>
      </w:tblGrid>
      <w:tr>
        <w:tc>
          <w:tcPr>
            <w:tcW w:type="dxa" w:w="4986"/>
            <w:shd w:val="clear" w:color="auto" w:fill="E8E8E8"/>
          </w:tcPr>
          <w:p>
            <w:pPr>
              <w:spacing w:after="0"/>
            </w:pPr>
            <w:r/>
            <w:r>
              <w:rPr>
                <w:b/>
                <w:sz w:val="17"/>
              </w:rPr>
              <w:t>arkusz</w:t>
            </w:r>
          </w:p>
        </w:tc>
        <w:tc>
          <w:tcPr>
            <w:tcW w:type="dxa" w:w="4986"/>
            <w:shd w:val="clear" w:color="auto" w:fill="E8E8E8"/>
          </w:tcPr>
          <w:p>
            <w:pPr>
              <w:spacing w:after="0"/>
            </w:pPr>
            <w:r/>
            <w:r>
              <w:rPr>
                <w:b/>
                <w:sz w:val="17"/>
              </w:rPr>
              <w:t>zawartość</w:t>
            </w:r>
          </w:p>
        </w:tc>
      </w:tr>
      <w:tr>
        <w:tc>
          <w:tcPr>
            <w:tcW w:type="dxa" w:w="4986"/>
          </w:tcPr>
          <w:p>
            <w:pPr>
              <w:spacing w:after="0"/>
            </w:pPr>
            <w:r/>
            <w:r>
              <w:rPr>
                <w:sz w:val="17"/>
              </w:rPr>
              <w:t>01</w:t>
            </w:r>
          </w:p>
        </w:tc>
        <w:tc>
          <w:tcPr>
            <w:tcW w:type="dxa" w:w="4986"/>
          </w:tcPr>
          <w:p>
            <w:pPr>
              <w:spacing w:after="0"/>
            </w:pPr>
            <w:r/>
            <w:r>
              <w:rPr>
                <w:sz w:val="17"/>
              </w:rPr>
              <w:t>Rzut ogólny — cała działka, podział na arkusze robocze, PUNKT 0</w:t>
            </w:r>
          </w:p>
        </w:tc>
      </w:tr>
      <w:tr>
        <w:tc>
          <w:tcPr>
            <w:tcW w:type="dxa" w:w="4986"/>
          </w:tcPr>
          <w:p>
            <w:pPr>
              <w:spacing w:after="0"/>
            </w:pPr>
            <w:r/>
            <w:r>
              <w:rPr>
                <w:sz w:val="17"/>
              </w:rPr>
              <w:t>02–09</w:t>
            </w:r>
          </w:p>
        </w:tc>
        <w:tc>
          <w:tcPr>
            <w:tcW w:type="dxa" w:w="4986"/>
          </w:tcPr>
          <w:p>
            <w:pPr>
              <w:spacing w:after="0"/>
            </w:pPr>
            <w:r/>
            <w:r>
              <w:rPr>
                <w:sz w:val="17"/>
              </w:rPr>
              <w:t>Arkusze robocze A–H, skala 1:50 — łańcuchy wymiarowe, przekątne kontrolne</w:t>
            </w:r>
          </w:p>
        </w:tc>
      </w:tr>
      <w:tr>
        <w:tc>
          <w:tcPr>
            <w:tcW w:type="dxa" w:w="4986"/>
          </w:tcPr>
          <w:p>
            <w:pPr>
              <w:spacing w:after="0"/>
            </w:pPr>
            <w:r/>
            <w:r>
              <w:rPr>
                <w:sz w:val="17"/>
              </w:rPr>
              <w:t>10</w:t>
            </w:r>
          </w:p>
        </w:tc>
        <w:tc>
          <w:tcPr>
            <w:tcW w:type="dxa" w:w="4986"/>
          </w:tcPr>
          <w:p>
            <w:pPr>
              <w:spacing w:after="0"/>
            </w:pPr>
            <w:r/>
            <w:r>
              <w:rPr>
                <w:sz w:val="17"/>
              </w:rPr>
              <w:t>Układ płyt — ścieżka Mayesto Grande</w:t>
            </w:r>
          </w:p>
        </w:tc>
      </w:tr>
      <w:tr>
        <w:tc>
          <w:tcPr>
            <w:tcW w:type="dxa" w:w="4986"/>
          </w:tcPr>
          <w:p>
            <w:pPr>
              <w:spacing w:after="0"/>
            </w:pPr>
            <w:r/>
            <w:r>
              <w:rPr>
                <w:sz w:val="17"/>
              </w:rPr>
              <w:t>11</w:t>
            </w:r>
          </w:p>
        </w:tc>
        <w:tc>
          <w:tcPr>
            <w:tcW w:type="dxa" w:w="4986"/>
          </w:tcPr>
          <w:p>
            <w:pPr>
              <w:spacing w:after="0"/>
            </w:pPr>
            <w:r/>
            <w:r>
              <w:rPr>
                <w:sz w:val="17"/>
              </w:rPr>
              <w:t>Układ płyt tarasu — gres 60×60, przełamanie po ukosie</w:t>
            </w:r>
          </w:p>
        </w:tc>
      </w:tr>
      <w:tr>
        <w:tc>
          <w:tcPr>
            <w:tcW w:type="dxa" w:w="4986"/>
          </w:tcPr>
          <w:p>
            <w:pPr>
              <w:spacing w:after="0"/>
            </w:pPr>
            <w:r/>
            <w:r>
              <w:rPr>
                <w:sz w:val="17"/>
              </w:rPr>
              <w:t>12</w:t>
            </w:r>
          </w:p>
        </w:tc>
        <w:tc>
          <w:tcPr>
            <w:tcW w:type="dxa" w:w="4986"/>
          </w:tcPr>
          <w:p>
            <w:pPr>
              <w:spacing w:after="0"/>
            </w:pPr>
            <w:r/>
            <w:r>
              <w:rPr>
                <w:sz w:val="17"/>
              </w:rPr>
              <w:t>Układ płyt — wejście do domu, gres 90×90</w:t>
            </w:r>
          </w:p>
        </w:tc>
      </w:tr>
      <w:tr>
        <w:tc>
          <w:tcPr>
            <w:tcW w:type="dxa" w:w="4986"/>
          </w:tcPr>
          <w:p>
            <w:pPr>
              <w:spacing w:after="0"/>
            </w:pPr>
            <w:r/>
            <w:r>
              <w:rPr>
                <w:sz w:val="17"/>
              </w:rPr>
              <w:t>13</w:t>
            </w:r>
          </w:p>
        </w:tc>
        <w:tc>
          <w:tcPr>
            <w:tcW w:type="dxa" w:w="4986"/>
          </w:tcPr>
          <w:p>
            <w:pPr>
              <w:spacing w:after="0"/>
            </w:pPr>
            <w:r/>
            <w:r>
              <w:rPr>
                <w:sz w:val="17"/>
              </w:rPr>
              <w:t>Przekroje konstrukcyjne — podjazd, ciąg pieszy, taras</w:t>
            </w:r>
          </w:p>
        </w:tc>
      </w:tr>
    </w:tbl>
    <w:p>
      <w:pPr>
        <w:spacing w:after="0"/>
      </w:pPr>
    </w:p>
    <w:p>
      <w:r>
        <w:br w:type="page"/>
      </w:r>
    </w:p>
    <w:p>
      <w:pPr>
        <w:keepNext/>
        <w:spacing w:before="80"/>
      </w:pPr>
      <w:r>
        <w:rPr>
          <w:b/>
          <w:sz w:val="28"/>
        </w:rPr>
        <w:t>Załącznik nr 2 — wykaz materiału powierzonego</w:t>
      </w:r>
    </w:p>
    <w:p>
      <w:r>
        <w:rPr/>
        <w:t>Materiał dostarcza Zamawiający (§ 5 ust. 1). Kolumna „Etap I" to ilość schodząca z rysunku w zakresie objętym umową; kolumna „zamówienie" to ilość zakupiona, obejmująca również zakres poza umową oraz zapas wynikający z pojemności palety.</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8E8E8"/>
          </w:tcPr>
          <w:p>
            <w:pPr>
              <w:spacing w:after="0"/>
            </w:pPr>
            <w:r/>
            <w:r>
              <w:rPr>
                <w:b/>
                <w:sz w:val="17"/>
              </w:rPr>
              <w:t>produkt</w:t>
            </w:r>
          </w:p>
        </w:tc>
        <w:tc>
          <w:tcPr>
            <w:tcW w:type="dxa" w:w="3324"/>
            <w:shd w:val="clear" w:color="auto" w:fill="E8E8E8"/>
          </w:tcPr>
          <w:p>
            <w:pPr>
              <w:spacing w:after="0"/>
            </w:pPr>
            <w:r/>
            <w:r>
              <w:rPr>
                <w:b/>
                <w:sz w:val="17"/>
              </w:rPr>
              <w:t>Etap I</w:t>
            </w:r>
          </w:p>
        </w:tc>
        <w:tc>
          <w:tcPr>
            <w:tcW w:type="dxa" w:w="3324"/>
            <w:shd w:val="clear" w:color="auto" w:fill="E8E8E8"/>
          </w:tcPr>
          <w:p>
            <w:pPr>
              <w:spacing w:after="0"/>
            </w:pPr>
            <w:r/>
            <w:r>
              <w:rPr>
                <w:b/>
                <w:sz w:val="17"/>
              </w:rPr>
              <w:t>zamówienie</w:t>
            </w:r>
          </w:p>
        </w:tc>
      </w:tr>
      <w:tr>
        <w:tc>
          <w:tcPr>
            <w:tcW w:type="dxa" w:w="3324"/>
          </w:tcPr>
          <w:p>
            <w:pPr>
              <w:spacing w:after="0"/>
            </w:pPr>
            <w:r/>
            <w:r>
              <w:rPr>
                <w:sz w:val="17"/>
              </w:rPr>
              <w:t>Kostka Lundo 8 (3F) bello</w:t>
            </w:r>
          </w:p>
        </w:tc>
        <w:tc>
          <w:tcPr>
            <w:tcW w:type="dxa" w:w="3324"/>
          </w:tcPr>
          <w:p>
            <w:pPr>
              <w:spacing w:after="0"/>
            </w:pPr>
            <w:r/>
            <w:r>
              <w:rPr>
                <w:sz w:val="17"/>
              </w:rPr>
              <w:t>56,50 m²</w:t>
            </w:r>
          </w:p>
        </w:tc>
        <w:tc>
          <w:tcPr>
            <w:tcW w:type="dxa" w:w="3324"/>
          </w:tcPr>
          <w:p>
            <w:pPr>
              <w:spacing w:after="0"/>
            </w:pPr>
            <w:r/>
            <w:r>
              <w:rPr>
                <w:sz w:val="17"/>
              </w:rPr>
              <w:t>60,90 m² / 7 palet</w:t>
            </w:r>
          </w:p>
        </w:tc>
      </w:tr>
      <w:tr>
        <w:tc>
          <w:tcPr>
            <w:tcW w:type="dxa" w:w="3324"/>
          </w:tcPr>
          <w:p>
            <w:pPr>
              <w:spacing w:after="0"/>
            </w:pPr>
            <w:r/>
            <w:r>
              <w:rPr>
                <w:sz w:val="17"/>
              </w:rPr>
              <w:t>Kostka Lundo 6 (3F) platino</w:t>
            </w:r>
          </w:p>
        </w:tc>
        <w:tc>
          <w:tcPr>
            <w:tcW w:type="dxa" w:w="3324"/>
          </w:tcPr>
          <w:p>
            <w:pPr>
              <w:spacing w:after="0"/>
            </w:pPr>
            <w:r/>
            <w:r>
              <w:rPr>
                <w:sz w:val="17"/>
              </w:rPr>
              <w:t>53,13 m²</w:t>
            </w:r>
          </w:p>
        </w:tc>
        <w:tc>
          <w:tcPr>
            <w:tcW w:type="dxa" w:w="3324"/>
          </w:tcPr>
          <w:p>
            <w:pPr>
              <w:spacing w:after="0"/>
            </w:pPr>
            <w:r/>
            <w:r>
              <w:rPr>
                <w:sz w:val="17"/>
              </w:rPr>
              <w:t>115,00 m² / 10 palet *</w:t>
            </w:r>
          </w:p>
        </w:tc>
      </w:tr>
      <w:tr>
        <w:tc>
          <w:tcPr>
            <w:tcW w:type="dxa" w:w="3324"/>
          </w:tcPr>
          <w:p>
            <w:pPr>
              <w:spacing w:after="0"/>
            </w:pPr>
            <w:r/>
            <w:r>
              <w:rPr>
                <w:sz w:val="17"/>
              </w:rPr>
              <w:t>Kostka Lundo 6 (3F) bello</w:t>
            </w:r>
          </w:p>
        </w:tc>
        <w:tc>
          <w:tcPr>
            <w:tcW w:type="dxa" w:w="3324"/>
          </w:tcPr>
          <w:p>
            <w:pPr>
              <w:spacing w:after="0"/>
            </w:pPr>
            <w:r/>
            <w:r>
              <w:rPr>
                <w:sz w:val="17"/>
              </w:rPr>
              <w:t>41,92 m²</w:t>
            </w:r>
          </w:p>
        </w:tc>
        <w:tc>
          <w:tcPr>
            <w:tcW w:type="dxa" w:w="3324"/>
          </w:tcPr>
          <w:p>
            <w:pPr>
              <w:spacing w:after="0"/>
            </w:pPr>
            <w:r/>
            <w:r>
              <w:rPr>
                <w:sz w:val="17"/>
              </w:rPr>
              <w:t>46,00 m² / 4 palety</w:t>
            </w:r>
          </w:p>
        </w:tc>
      </w:tr>
      <w:tr>
        <w:tc>
          <w:tcPr>
            <w:tcW w:type="dxa" w:w="3324"/>
          </w:tcPr>
          <w:p>
            <w:pPr>
              <w:spacing w:after="0"/>
            </w:pPr>
            <w:r/>
            <w:r>
              <w:rPr>
                <w:sz w:val="17"/>
              </w:rPr>
              <w:t>Gres Zoya Danzig White 60×60×2</w:t>
            </w:r>
          </w:p>
        </w:tc>
        <w:tc>
          <w:tcPr>
            <w:tcW w:type="dxa" w:w="3324"/>
          </w:tcPr>
          <w:p>
            <w:pPr>
              <w:spacing w:after="0"/>
            </w:pPr>
            <w:r/>
            <w:r>
              <w:rPr>
                <w:sz w:val="17"/>
              </w:rPr>
              <w:t>39,35 m²</w:t>
            </w:r>
          </w:p>
        </w:tc>
        <w:tc>
          <w:tcPr>
            <w:tcW w:type="dxa" w:w="3324"/>
          </w:tcPr>
          <w:p>
            <w:pPr>
              <w:spacing w:after="0"/>
            </w:pPr>
            <w:r/>
            <w:r>
              <w:rPr>
                <w:sz w:val="17"/>
              </w:rPr>
              <w:t>39,35 m²</w:t>
            </w:r>
          </w:p>
        </w:tc>
      </w:tr>
      <w:tr>
        <w:tc>
          <w:tcPr>
            <w:tcW w:type="dxa" w:w="3324"/>
          </w:tcPr>
          <w:p>
            <w:pPr>
              <w:spacing w:after="0"/>
            </w:pPr>
            <w:r/>
            <w:r>
              <w:rPr>
                <w:sz w:val="17"/>
              </w:rPr>
              <w:t>Gres Zoya Danzig White 90×90×2</w:t>
            </w:r>
          </w:p>
        </w:tc>
        <w:tc>
          <w:tcPr>
            <w:tcW w:type="dxa" w:w="3324"/>
          </w:tcPr>
          <w:p>
            <w:pPr>
              <w:spacing w:after="0"/>
            </w:pPr>
            <w:r/>
            <w:r>
              <w:rPr>
                <w:sz w:val="17"/>
              </w:rPr>
              <w:t>8,50 m²</w:t>
            </w:r>
          </w:p>
        </w:tc>
        <w:tc>
          <w:tcPr>
            <w:tcW w:type="dxa" w:w="3324"/>
          </w:tcPr>
          <w:p>
            <w:pPr>
              <w:spacing w:after="0"/>
            </w:pPr>
            <w:r/>
            <w:r>
              <w:rPr>
                <w:sz w:val="17"/>
              </w:rPr>
              <w:t>8,50 m²</w:t>
            </w:r>
          </w:p>
        </w:tc>
      </w:tr>
      <w:tr>
        <w:tc>
          <w:tcPr>
            <w:tcW w:type="dxa" w:w="3324"/>
          </w:tcPr>
          <w:p>
            <w:pPr>
              <w:spacing w:after="0"/>
            </w:pPr>
            <w:r/>
            <w:r>
              <w:rPr>
                <w:sz w:val="17"/>
              </w:rPr>
              <w:t>Płyta Mayesto Grande 120×80×8 bello</w:t>
            </w:r>
          </w:p>
        </w:tc>
        <w:tc>
          <w:tcPr>
            <w:tcW w:type="dxa" w:w="3324"/>
          </w:tcPr>
          <w:p>
            <w:pPr>
              <w:spacing w:after="0"/>
            </w:pPr>
            <w:r/>
            <w:r>
              <w:rPr>
                <w:sz w:val="17"/>
              </w:rPr>
              <w:t>12,87 m²</w:t>
            </w:r>
          </w:p>
        </w:tc>
        <w:tc>
          <w:tcPr>
            <w:tcW w:type="dxa" w:w="3324"/>
          </w:tcPr>
          <w:p>
            <w:pPr>
              <w:spacing w:after="0"/>
            </w:pPr>
            <w:r/>
            <w:r>
              <w:rPr>
                <w:sz w:val="17"/>
              </w:rPr>
              <w:t>16 szt / 2 palety</w:t>
            </w:r>
          </w:p>
        </w:tc>
      </w:tr>
      <w:tr>
        <w:tc>
          <w:tcPr>
            <w:tcW w:type="dxa" w:w="3324"/>
          </w:tcPr>
          <w:p>
            <w:pPr>
              <w:spacing w:after="0"/>
            </w:pPr>
            <w:r/>
            <w:r>
              <w:rPr>
                <w:sz w:val="17"/>
              </w:rPr>
              <w:t>Płyta Mayesto 80×80×8 platino</w:t>
            </w:r>
          </w:p>
        </w:tc>
        <w:tc>
          <w:tcPr>
            <w:tcW w:type="dxa" w:w="3324"/>
          </w:tcPr>
          <w:p>
            <w:pPr>
              <w:spacing w:after="0"/>
            </w:pPr>
            <w:r/>
            <w:r>
              <w:rPr>
                <w:sz w:val="17"/>
              </w:rPr>
              <w:t>8,89 m²</w:t>
            </w:r>
          </w:p>
        </w:tc>
        <w:tc>
          <w:tcPr>
            <w:tcW w:type="dxa" w:w="3324"/>
          </w:tcPr>
          <w:p>
            <w:pPr>
              <w:spacing w:after="0"/>
            </w:pPr>
            <w:r/>
            <w:r>
              <w:rPr>
                <w:sz w:val="17"/>
              </w:rPr>
              <w:t>16 szt / 2 palety</w:t>
            </w:r>
          </w:p>
        </w:tc>
      </w:tr>
      <w:tr>
        <w:tc>
          <w:tcPr>
            <w:tcW w:type="dxa" w:w="3324"/>
          </w:tcPr>
          <w:p>
            <w:pPr>
              <w:spacing w:after="0"/>
            </w:pPr>
            <w:r/>
            <w:r>
              <w:rPr>
                <w:sz w:val="17"/>
              </w:rPr>
              <w:t>Płyta Mayesto 80×80×8 bello</w:t>
            </w:r>
          </w:p>
        </w:tc>
        <w:tc>
          <w:tcPr>
            <w:tcW w:type="dxa" w:w="3324"/>
          </w:tcPr>
          <w:p>
            <w:pPr>
              <w:spacing w:after="0"/>
            </w:pPr>
            <w:r/>
            <w:r>
              <w:rPr>
                <w:sz w:val="17"/>
              </w:rPr>
              <w:t>5,12 m²</w:t>
            </w:r>
          </w:p>
        </w:tc>
        <w:tc>
          <w:tcPr>
            <w:tcW w:type="dxa" w:w="3324"/>
          </w:tcPr>
          <w:p>
            <w:pPr>
              <w:spacing w:after="0"/>
            </w:pPr>
            <w:r/>
            <w:r>
              <w:rPr>
                <w:sz w:val="17"/>
              </w:rPr>
              <w:t>8 szt / 1 paleta</w:t>
            </w:r>
          </w:p>
        </w:tc>
      </w:tr>
      <w:tr>
        <w:tc>
          <w:tcPr>
            <w:tcW w:type="dxa" w:w="3324"/>
          </w:tcPr>
          <w:p>
            <w:pPr>
              <w:spacing w:after="0"/>
            </w:pPr>
            <w:r/>
            <w:r>
              <w:rPr>
                <w:sz w:val="17"/>
              </w:rPr>
              <w:t>Płyta Drewbet MF 100×100×8 szary</w:t>
            </w:r>
          </w:p>
        </w:tc>
        <w:tc>
          <w:tcPr>
            <w:tcW w:type="dxa" w:w="3324"/>
          </w:tcPr>
          <w:p>
            <w:pPr>
              <w:spacing w:after="0"/>
            </w:pPr>
            <w:r/>
            <w:r>
              <w:rPr>
                <w:sz w:val="17"/>
              </w:rPr>
              <w:t>2,00 m²</w:t>
            </w:r>
          </w:p>
        </w:tc>
        <w:tc>
          <w:tcPr>
            <w:tcW w:type="dxa" w:w="3324"/>
          </w:tcPr>
          <w:p>
            <w:pPr>
              <w:spacing w:after="0"/>
            </w:pPr>
            <w:r/>
            <w:r>
              <w:rPr>
                <w:sz w:val="17"/>
              </w:rPr>
              <w:t>2 szt</w:t>
            </w:r>
          </w:p>
        </w:tc>
      </w:tr>
      <w:tr>
        <w:tc>
          <w:tcPr>
            <w:tcW w:type="dxa" w:w="3324"/>
          </w:tcPr>
          <w:p>
            <w:pPr>
              <w:spacing w:after="0"/>
            </w:pPr>
            <w:r/>
            <w:r>
              <w:rPr>
                <w:sz w:val="17"/>
              </w:rPr>
              <w:t>Obrzeże Livio Grande 50×40×8 silexo</w:t>
            </w:r>
          </w:p>
        </w:tc>
        <w:tc>
          <w:tcPr>
            <w:tcW w:type="dxa" w:w="3324"/>
          </w:tcPr>
          <w:p>
            <w:pPr>
              <w:spacing w:after="0"/>
            </w:pPr>
            <w:r/>
            <w:r>
              <w:rPr>
                <w:sz w:val="17"/>
              </w:rPr>
              <w:t>118 szt / 56,83 mb</w:t>
            </w:r>
          </w:p>
        </w:tc>
        <w:tc>
          <w:tcPr>
            <w:tcW w:type="dxa" w:w="3324"/>
          </w:tcPr>
          <w:p>
            <w:pPr>
              <w:spacing w:after="0"/>
            </w:pPr>
            <w:r/>
            <w:r>
              <w:rPr>
                <w:sz w:val="17"/>
              </w:rPr>
              <w:t>128 szt / 4 palety</w:t>
            </w:r>
          </w:p>
        </w:tc>
      </w:tr>
      <w:tr>
        <w:tc>
          <w:tcPr>
            <w:tcW w:type="dxa" w:w="3324"/>
          </w:tcPr>
          <w:p>
            <w:pPr>
              <w:spacing w:after="0"/>
            </w:pPr>
            <w:r/>
            <w:r>
              <w:rPr>
                <w:sz w:val="17"/>
              </w:rPr>
              <w:t>Obrzeże Livio Grande 50×40×8 platino</w:t>
            </w:r>
          </w:p>
        </w:tc>
        <w:tc>
          <w:tcPr>
            <w:tcW w:type="dxa" w:w="3324"/>
          </w:tcPr>
          <w:p>
            <w:pPr>
              <w:spacing w:after="0"/>
            </w:pPr>
            <w:r/>
            <w:r>
              <w:rPr>
                <w:sz w:val="17"/>
              </w:rPr>
              <w:t>16 szt / 7,00 mb</w:t>
            </w:r>
          </w:p>
        </w:tc>
        <w:tc>
          <w:tcPr>
            <w:tcW w:type="dxa" w:w="3324"/>
          </w:tcPr>
          <w:p>
            <w:pPr>
              <w:spacing w:after="0"/>
            </w:pPr>
            <w:r/>
            <w:r>
              <w:rPr>
                <w:sz w:val="17"/>
              </w:rPr>
              <w:t>96 szt / 3 palety *</w:t>
            </w:r>
          </w:p>
        </w:tc>
      </w:tr>
      <w:tr>
        <w:tc>
          <w:tcPr>
            <w:tcW w:type="dxa" w:w="3324"/>
          </w:tcPr>
          <w:p>
            <w:pPr>
              <w:spacing w:after="0"/>
            </w:pPr>
            <w:r/>
            <w:r>
              <w:rPr>
                <w:sz w:val="17"/>
              </w:rPr>
              <w:t>Palisada Livello Slim 8×30×100 silexo</w:t>
            </w:r>
          </w:p>
        </w:tc>
        <w:tc>
          <w:tcPr>
            <w:tcW w:type="dxa" w:w="3324"/>
          </w:tcPr>
          <w:p>
            <w:pPr>
              <w:spacing w:after="0"/>
            </w:pPr>
            <w:r/>
            <w:r>
              <w:rPr>
                <w:sz w:val="17"/>
              </w:rPr>
              <w:t>22 szt / 19,79 mb</w:t>
            </w:r>
          </w:p>
        </w:tc>
        <w:tc>
          <w:tcPr>
            <w:tcW w:type="dxa" w:w="3324"/>
          </w:tcPr>
          <w:p>
            <w:pPr>
              <w:spacing w:after="0"/>
            </w:pPr>
            <w:r/>
            <w:r>
              <w:rPr>
                <w:sz w:val="17"/>
              </w:rPr>
              <w:t>24 szt / 1 paleta</w:t>
            </w:r>
          </w:p>
        </w:tc>
      </w:tr>
      <w:tr>
        <w:tc>
          <w:tcPr>
            <w:tcW w:type="dxa" w:w="3324"/>
          </w:tcPr>
          <w:p>
            <w:pPr>
              <w:spacing w:after="0"/>
            </w:pPr>
            <w:r/>
            <w:r>
              <w:rPr>
                <w:sz w:val="17"/>
              </w:rPr>
              <w:t>Obrzeże trawnikowe 6×20×100 szary</w:t>
            </w:r>
          </w:p>
        </w:tc>
        <w:tc>
          <w:tcPr>
            <w:tcW w:type="dxa" w:w="3324"/>
          </w:tcPr>
          <w:p>
            <w:pPr>
              <w:spacing w:after="0"/>
            </w:pPr>
            <w:r/>
            <w:r>
              <w:rPr>
                <w:sz w:val="17"/>
              </w:rPr>
              <w:t>77 szt / 76,33 mb</w:t>
            </w:r>
          </w:p>
        </w:tc>
        <w:tc>
          <w:tcPr>
            <w:tcW w:type="dxa" w:w="3324"/>
          </w:tcPr>
          <w:p>
            <w:pPr>
              <w:spacing w:after="0"/>
            </w:pPr>
            <w:r/>
            <w:r>
              <w:rPr>
                <w:sz w:val="17"/>
              </w:rPr>
              <w:t>90 szt / 3 palety</w:t>
            </w:r>
          </w:p>
        </w:tc>
      </w:tr>
      <w:tr>
        <w:tc>
          <w:tcPr>
            <w:tcW w:type="dxa" w:w="3324"/>
          </w:tcPr>
          <w:p>
            <w:pPr>
              <w:spacing w:after="0"/>
            </w:pPr>
            <w:r/>
            <w:r>
              <w:rPr>
                <w:sz w:val="17"/>
              </w:rPr>
              <w:t>Palisada Hestra 10×20×60 szary</w:t>
            </w:r>
          </w:p>
        </w:tc>
        <w:tc>
          <w:tcPr>
            <w:tcW w:type="dxa" w:w="3324"/>
          </w:tcPr>
          <w:p>
            <w:pPr>
              <w:spacing w:after="0"/>
            </w:pPr>
            <w:r/>
            <w:r>
              <w:rPr>
                <w:sz w:val="17"/>
              </w:rPr>
              <w:t>124 szt / 24,62 mb</w:t>
            </w:r>
          </w:p>
        </w:tc>
        <w:tc>
          <w:tcPr>
            <w:tcW w:type="dxa" w:w="3324"/>
          </w:tcPr>
          <w:p>
            <w:pPr>
              <w:spacing w:after="0"/>
            </w:pPr>
            <w:r/>
            <w:r>
              <w:rPr>
                <w:sz w:val="17"/>
              </w:rPr>
              <w:t>162 szt / 3 palety</w:t>
            </w:r>
          </w:p>
        </w:tc>
      </w:tr>
      <w:tr>
        <w:tc>
          <w:tcPr>
            <w:tcW w:type="dxa" w:w="3324"/>
          </w:tcPr>
          <w:p>
            <w:pPr>
              <w:spacing w:after="0"/>
            </w:pPr>
            <w:r/>
            <w:r>
              <w:rPr>
                <w:sz w:val="17"/>
              </w:rPr>
              <w:t>Stopień Livello Uni 15×40×100 silexo</w:t>
            </w:r>
          </w:p>
        </w:tc>
        <w:tc>
          <w:tcPr>
            <w:tcW w:type="dxa" w:w="3324"/>
          </w:tcPr>
          <w:p>
            <w:pPr>
              <w:spacing w:after="0"/>
            </w:pPr>
            <w:r/>
            <w:r>
              <w:rPr>
                <w:sz w:val="17"/>
              </w:rPr>
              <w:t>18 szt / 15,90 mb</w:t>
            </w:r>
          </w:p>
        </w:tc>
        <w:tc>
          <w:tcPr>
            <w:tcW w:type="dxa" w:w="3324"/>
          </w:tcPr>
          <w:p>
            <w:pPr>
              <w:spacing w:after="0"/>
            </w:pPr>
            <w:r/>
            <w:r>
              <w:rPr>
                <w:sz w:val="17"/>
              </w:rPr>
              <w:t>18 szt / 2 palety</w:t>
            </w:r>
          </w:p>
        </w:tc>
      </w:tr>
      <w:tr>
        <w:tc>
          <w:tcPr>
            <w:tcW w:type="dxa" w:w="3324"/>
          </w:tcPr>
          <w:p>
            <w:pPr>
              <w:spacing w:after="0"/>
            </w:pPr>
            <w:r/>
            <w:r>
              <w:rPr>
                <w:sz w:val="17"/>
              </w:rPr>
              <w:t>Stopień Livello Uni 15×40×100 platino</w:t>
            </w:r>
          </w:p>
        </w:tc>
        <w:tc>
          <w:tcPr>
            <w:tcW w:type="dxa" w:w="3324"/>
          </w:tcPr>
          <w:p>
            <w:pPr>
              <w:spacing w:after="0"/>
            </w:pPr>
            <w:r/>
            <w:r>
              <w:rPr>
                <w:sz w:val="17"/>
              </w:rPr>
              <w:t>4 szt / 4,00 mb</w:t>
            </w:r>
          </w:p>
        </w:tc>
        <w:tc>
          <w:tcPr>
            <w:tcW w:type="dxa" w:w="3324"/>
          </w:tcPr>
          <w:p>
            <w:pPr>
              <w:spacing w:after="0"/>
            </w:pPr>
            <w:r/>
            <w:r>
              <w:rPr>
                <w:sz w:val="17"/>
              </w:rPr>
              <w:t>9 szt / 1 paleta</w:t>
            </w:r>
          </w:p>
        </w:tc>
      </w:tr>
      <w:tr>
        <w:tc>
          <w:tcPr>
            <w:tcW w:type="dxa" w:w="3324"/>
          </w:tcPr>
          <w:p>
            <w:pPr>
              <w:spacing w:after="0"/>
            </w:pPr>
            <w:r/>
            <w:r>
              <w:rPr>
                <w:sz w:val="17"/>
              </w:rPr>
              <w:t>Krawężnik najazdowy 15×22×100 szary</w:t>
            </w:r>
          </w:p>
        </w:tc>
        <w:tc>
          <w:tcPr>
            <w:tcW w:type="dxa" w:w="3324"/>
          </w:tcPr>
          <w:p>
            <w:pPr>
              <w:spacing w:after="0"/>
            </w:pPr>
            <w:r/>
            <w:r>
              <w:rPr>
                <w:sz w:val="17"/>
              </w:rPr>
              <w:t>9 szt / 7,26 mb</w:t>
            </w:r>
          </w:p>
        </w:tc>
        <w:tc>
          <w:tcPr>
            <w:tcW w:type="dxa" w:w="3324"/>
          </w:tcPr>
          <w:p>
            <w:pPr>
              <w:spacing w:after="0"/>
            </w:pPr>
            <w:r/>
            <w:r>
              <w:rPr>
                <w:sz w:val="17"/>
              </w:rPr>
              <w:t>17 szt / 2 palety *</w:t>
            </w:r>
          </w:p>
        </w:tc>
      </w:tr>
      <w:tr>
        <w:tc>
          <w:tcPr>
            <w:tcW w:type="dxa" w:w="3324"/>
          </w:tcPr>
          <w:p>
            <w:pPr>
              <w:spacing w:after="0"/>
            </w:pPr>
            <w:r/>
            <w:r>
              <w:rPr>
                <w:sz w:val="17"/>
              </w:rPr>
              <w:t>geoBORD 58 czarny</w:t>
            </w:r>
          </w:p>
        </w:tc>
        <w:tc>
          <w:tcPr>
            <w:tcW w:type="dxa" w:w="3324"/>
          </w:tcPr>
          <w:p>
            <w:pPr>
              <w:spacing w:after="0"/>
            </w:pPr>
            <w:r/>
            <w:r>
              <w:rPr>
                <w:sz w:val="17"/>
              </w:rPr>
              <w:t>87,81 mb / 90 szt</w:t>
            </w:r>
          </w:p>
        </w:tc>
        <w:tc>
          <w:tcPr>
            <w:tcW w:type="dxa" w:w="3324"/>
          </w:tcPr>
          <w:p>
            <w:pPr>
              <w:spacing w:after="0"/>
            </w:pPr>
            <w:r/>
            <w:r>
              <w:rPr>
                <w:sz w:val="17"/>
              </w:rPr>
              <w:t>135 szt *</w:t>
            </w:r>
          </w:p>
        </w:tc>
      </w:tr>
      <w:tr>
        <w:tc>
          <w:tcPr>
            <w:tcW w:type="dxa" w:w="3324"/>
          </w:tcPr>
          <w:p>
            <w:pPr>
              <w:spacing w:after="0"/>
            </w:pPr>
            <w:r/>
            <w:r>
              <w:rPr>
                <w:sz w:val="17"/>
              </w:rPr>
              <w:t>geoBORD 78 czarny</w:t>
            </w:r>
          </w:p>
        </w:tc>
        <w:tc>
          <w:tcPr>
            <w:tcW w:type="dxa" w:w="3324"/>
          </w:tcPr>
          <w:p>
            <w:pPr>
              <w:spacing w:after="0"/>
            </w:pPr>
            <w:r/>
            <w:r>
              <w:rPr>
                <w:sz w:val="17"/>
              </w:rPr>
              <w:t>41,27 mb / 44 szt</w:t>
            </w:r>
          </w:p>
        </w:tc>
        <w:tc>
          <w:tcPr>
            <w:tcW w:type="dxa" w:w="3324"/>
          </w:tcPr>
          <w:p>
            <w:pPr>
              <w:spacing w:after="0"/>
            </w:pPr>
            <w:r/>
            <w:r>
              <w:rPr>
                <w:sz w:val="17"/>
              </w:rPr>
              <w:t>64 szt</w:t>
            </w:r>
          </w:p>
        </w:tc>
      </w:tr>
    </w:tbl>
    <w:p>
      <w:pPr>
        <w:spacing w:after="0"/>
      </w:pPr>
    </w:p>
    <w:p>
      <w:r>
        <w:rPr/>
        <w:t>* pozycja obejmuje również zakres poza umową (warsztat, parking, furtka 8/8).</w:t>
      </w:r>
    </w:p>
    <w:p>
      <w:r>
        <w:rPr>
          <w:b/>
        </w:rPr>
        <w:t>Trzy pozycje nie mają żadnego zapasu</w:t>
      </w:r>
      <w:r>
        <w:rPr/>
        <w:t xml:space="preserve"> — cała zamówiona ilość ma przeznaczenie i każda sztuka uszkodzona wstrzymuje robotę do następnej dostawy (§ 5 ust. 2):</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8E8E8"/>
          </w:tcPr>
          <w:p>
            <w:pPr>
              <w:spacing w:after="0"/>
            </w:pPr>
            <w:r/>
            <w:r>
              <w:rPr>
                <w:b/>
                <w:sz w:val="17"/>
              </w:rPr>
              <w:t>pozycja</w:t>
            </w:r>
          </w:p>
        </w:tc>
        <w:tc>
          <w:tcPr>
            <w:tcW w:type="dxa" w:w="3324"/>
            <w:shd w:val="clear" w:color="auto" w:fill="E8E8E8"/>
          </w:tcPr>
          <w:p>
            <w:pPr>
              <w:spacing w:after="0"/>
            </w:pPr>
            <w:r/>
            <w:r>
              <w:rPr>
                <w:b/>
                <w:sz w:val="17"/>
              </w:rPr>
              <w:t>zamówienie</w:t>
            </w:r>
          </w:p>
        </w:tc>
        <w:tc>
          <w:tcPr>
            <w:tcW w:type="dxa" w:w="3324"/>
            <w:shd w:val="clear" w:color="auto" w:fill="E8E8E8"/>
          </w:tcPr>
          <w:p>
            <w:pPr>
              <w:spacing w:after="0"/>
            </w:pPr>
            <w:r/>
            <w:r>
              <w:rPr>
                <w:b/>
                <w:sz w:val="17"/>
              </w:rPr>
              <w:t>dlaczego bez zapasu</w:t>
            </w:r>
          </w:p>
        </w:tc>
      </w:tr>
      <w:tr>
        <w:tc>
          <w:tcPr>
            <w:tcW w:type="dxa" w:w="3324"/>
          </w:tcPr>
          <w:p>
            <w:pPr>
              <w:spacing w:after="0"/>
            </w:pPr>
            <w:r/>
            <w:r>
              <w:rPr>
                <w:sz w:val="17"/>
              </w:rPr>
              <w:t>Stopień Livello Uni silexo</w:t>
            </w:r>
          </w:p>
        </w:tc>
        <w:tc>
          <w:tcPr>
            <w:tcW w:type="dxa" w:w="3324"/>
          </w:tcPr>
          <w:p>
            <w:pPr>
              <w:spacing w:after="0"/>
            </w:pPr>
            <w:r/>
            <w:r>
              <w:rPr>
                <w:sz w:val="17"/>
              </w:rPr>
              <w:t>18 szt = 2 pełne palety</w:t>
            </w:r>
          </w:p>
        </w:tc>
        <w:tc>
          <w:tcPr>
            <w:tcW w:type="dxa" w:w="3324"/>
          </w:tcPr>
          <w:p>
            <w:pPr>
              <w:spacing w:after="0"/>
            </w:pPr>
            <w:r/>
            <w:r>
              <w:rPr>
                <w:sz w:val="17"/>
              </w:rPr>
              <w:t>dokupienie = paleta 9 szt</w:t>
            </w:r>
          </w:p>
        </w:tc>
      </w:tr>
      <w:tr>
        <w:tc>
          <w:tcPr>
            <w:tcW w:type="dxa" w:w="3324"/>
          </w:tcPr>
          <w:p>
            <w:pPr>
              <w:spacing w:after="0"/>
            </w:pPr>
            <w:r/>
            <w:r>
              <w:rPr>
                <w:sz w:val="17"/>
              </w:rPr>
              <w:t>Płyta Mayesto 80×80 bello</w:t>
            </w:r>
          </w:p>
        </w:tc>
        <w:tc>
          <w:tcPr>
            <w:tcW w:type="dxa" w:w="3324"/>
          </w:tcPr>
          <w:p>
            <w:pPr>
              <w:spacing w:after="0"/>
            </w:pPr>
            <w:r/>
            <w:r>
              <w:rPr>
                <w:sz w:val="17"/>
              </w:rPr>
              <w:t>8 szt = 1 pełna paleta</w:t>
            </w:r>
          </w:p>
        </w:tc>
        <w:tc>
          <w:tcPr>
            <w:tcW w:type="dxa" w:w="3324"/>
          </w:tcPr>
          <w:p>
            <w:pPr>
              <w:spacing w:after="0"/>
            </w:pPr>
            <w:r/>
            <w:r>
              <w:rPr>
                <w:sz w:val="17"/>
              </w:rPr>
              <w:t>dokupienie = paleta 8 szt</w:t>
            </w:r>
          </w:p>
        </w:tc>
      </w:tr>
      <w:tr>
        <w:tc>
          <w:tcPr>
            <w:tcW w:type="dxa" w:w="3324"/>
          </w:tcPr>
          <w:p>
            <w:pPr>
              <w:spacing w:after="0"/>
            </w:pPr>
            <w:r/>
            <w:r>
              <w:rPr>
                <w:sz w:val="17"/>
              </w:rPr>
              <w:t>Płyta Drewbet MF 100×100</w:t>
            </w:r>
          </w:p>
        </w:tc>
        <w:tc>
          <w:tcPr>
            <w:tcW w:type="dxa" w:w="3324"/>
          </w:tcPr>
          <w:p>
            <w:pPr>
              <w:spacing w:after="0"/>
            </w:pPr>
            <w:r/>
            <w:r>
              <w:rPr>
                <w:sz w:val="17"/>
              </w:rPr>
              <w:t>2 szt</w:t>
            </w:r>
          </w:p>
        </w:tc>
        <w:tc>
          <w:tcPr>
            <w:tcW w:type="dxa" w:w="3324"/>
          </w:tcPr>
          <w:p>
            <w:pPr>
              <w:spacing w:after="0"/>
            </w:pPr>
            <w:r/>
            <w:r>
              <w:rPr>
                <w:sz w:val="17"/>
              </w:rPr>
              <w:t>pozycja dwusztukowa</w:t>
            </w:r>
          </w:p>
        </w:tc>
      </w:tr>
    </w:tbl>
    <w:p>
      <w:pPr>
        <w:spacing w:after="0"/>
      </w:pPr>
    </w:p>
    <w:p>
      <w:r>
        <w:rPr>
          <w:b/>
        </w:rPr>
        <w:t>Elementy wykonywane z docinka</w:t>
      </w:r>
      <w:r>
        <w:rPr/>
        <w:t xml:space="preserve"> — nie mają własnej pozycji w zamówieniu, powstają z nadmiarowych płyt Mayesto Grande: dwa paski 1000 × 150 mm w ościeżach okien zachodnich oraz obrzeże lica południowego gresu przy wejściu, trzy odcinki ok. 930 × 80 mm. Nadmiarowe płyty pozostają zarezerwowane na ten cel.</w:t>
      </w:r>
    </w:p>
    <w:p>
      <w:r>
        <w:rPr>
          <w:b/>
        </w:rPr>
        <w:t>Profil geoBORD 45 — 124,71 mb — układa ogrodnik</w:t>
      </w:r>
      <w:r>
        <w:rPr/>
        <w:t>, poza zakresem umowy.</w:t>
      </w:r>
    </w:p>
    <w:p>
      <w:r>
        <w:br w:type="page"/>
      </w:r>
    </w:p>
    <w:p>
      <w:pPr>
        <w:keepNext/>
        <w:spacing w:before="80"/>
      </w:pPr>
      <w:r>
        <w:rPr>
          <w:b/>
          <w:sz w:val="28"/>
        </w:rPr>
        <w:t>Załącznik nr 3 — wzór protokołu odbioru</w:t>
      </w:r>
    </w:p>
    <w:p>
      <w:r>
        <w:rPr>
          <w:b/>
        </w:rPr>
        <w:t>PROTOKÓŁ ODBIORU</w:t>
      </w:r>
      <w:r>
        <w:rPr/>
        <w:t xml:space="preserve"> ☐ sekcji ☐ końcowego</w:t>
      </w:r>
    </w:p>
    <w:p>
      <w:r>
        <w:rPr/>
        <w:t>Data: ………………    Godzina zgłoszenia: ………………    Godzina odbioru: ………………</w:t>
      </w:r>
    </w:p>
    <w:p>
      <w:r>
        <w:rPr/>
        <w:t>Sekcja / zakres odbierany: ……………………………………………………………………</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8E8E8"/>
          </w:tcPr>
          <w:p>
            <w:pPr>
              <w:spacing w:after="0"/>
            </w:pPr>
            <w:r/>
            <w:r>
              <w:rPr>
                <w:b/>
                <w:sz w:val="17"/>
              </w:rPr>
              <w:t>lp.</w:t>
            </w:r>
          </w:p>
        </w:tc>
        <w:tc>
          <w:tcPr>
            <w:tcW w:type="dxa" w:w="2493"/>
            <w:shd w:val="clear" w:color="auto" w:fill="E8E8E8"/>
          </w:tcPr>
          <w:p>
            <w:pPr>
              <w:spacing w:after="0"/>
            </w:pPr>
            <w:r/>
            <w:r>
              <w:rPr>
                <w:b/>
                <w:sz w:val="17"/>
              </w:rPr>
              <w:t>co sprawdzono</w:t>
            </w:r>
          </w:p>
        </w:tc>
        <w:tc>
          <w:tcPr>
            <w:tcW w:type="dxa" w:w="2493"/>
            <w:shd w:val="clear" w:color="auto" w:fill="E8E8E8"/>
          </w:tcPr>
          <w:p>
            <w:pPr>
              <w:spacing w:after="0"/>
            </w:pPr>
            <w:r/>
            <w:r>
              <w:rPr>
                <w:b/>
                <w:sz w:val="17"/>
              </w:rPr>
              <w:t>wynik</w:t>
            </w:r>
          </w:p>
        </w:tc>
        <w:tc>
          <w:tcPr>
            <w:tcW w:type="dxa" w:w="2493"/>
            <w:shd w:val="clear" w:color="auto" w:fill="E8E8E8"/>
          </w:tcPr>
          <w:p>
            <w:pPr>
              <w:spacing w:after="0"/>
            </w:pPr>
            <w:r/>
            <w:r>
              <w:rPr>
                <w:b/>
                <w:sz w:val="17"/>
              </w:rPr>
              <w:t>uwagi</w:t>
            </w:r>
          </w:p>
        </w:tc>
      </w:tr>
      <w:tr>
        <w:tc>
          <w:tcPr>
            <w:tcW w:type="dxa" w:w="2493"/>
          </w:tcPr>
          <w:p>
            <w:pPr>
              <w:spacing w:after="0"/>
            </w:pPr>
            <w:r/>
            <w:r>
              <w:rPr>
                <w:sz w:val="17"/>
              </w:rPr>
              <w:t>1</w:t>
            </w:r>
          </w:p>
        </w:tc>
        <w:tc>
          <w:tcPr>
            <w:tcW w:type="dxa" w:w="2493"/>
          </w:tcPr>
          <w:p>
            <w:pPr>
              <w:spacing w:after="0"/>
            </w:pPr>
            <w:r/>
            <w:r>
              <w:rPr>
                <w:sz w:val="17"/>
              </w:rPr>
              <w:t>Zgodność wykonania z dokumentacją</w:t>
            </w:r>
          </w:p>
        </w:tc>
        <w:tc>
          <w:tcPr>
            <w:tcW w:type="dxa" w:w="2493"/>
          </w:tcPr>
          <w:p>
            <w:pPr>
              <w:spacing w:after="0"/>
            </w:pPr>
            <w:r/>
            <w:r>
              <w:rPr>
                <w:sz w:val="17"/>
              </w:rPr>
              <w:t>☐ zgodne ☐ niezgodne</w:t>
            </w:r>
          </w:p>
        </w:tc>
        <w:tc>
          <w:tcPr>
            <w:tcW w:type="dxa" w:w="2493"/>
          </w:tcPr>
          <w:p>
            <w:pPr>
              <w:spacing w:after="0"/>
            </w:pPr>
            <w:r/>
          </w:p>
        </w:tc>
      </w:tr>
      <w:tr>
        <w:tc>
          <w:tcPr>
            <w:tcW w:type="dxa" w:w="2493"/>
          </w:tcPr>
          <w:p>
            <w:pPr>
              <w:spacing w:after="0"/>
            </w:pPr>
            <w:r/>
            <w:r>
              <w:rPr>
                <w:sz w:val="17"/>
              </w:rPr>
              <w:t>2</w:t>
            </w:r>
          </w:p>
        </w:tc>
        <w:tc>
          <w:tcPr>
            <w:tcW w:type="dxa" w:w="2493"/>
          </w:tcPr>
          <w:p>
            <w:pPr>
              <w:spacing w:after="0"/>
            </w:pPr>
            <w:r/>
            <w:r>
              <w:rPr>
                <w:sz w:val="17"/>
              </w:rPr>
              <w:t>Konstrukcja podbudowy zgodna z § 6 ust. 1</w:t>
            </w:r>
          </w:p>
        </w:tc>
        <w:tc>
          <w:tcPr>
            <w:tcW w:type="dxa" w:w="2493"/>
          </w:tcPr>
          <w:p>
            <w:pPr>
              <w:spacing w:after="0"/>
            </w:pPr>
            <w:r/>
            <w:r>
              <w:rPr>
                <w:sz w:val="17"/>
              </w:rPr>
              <w:t>☐ ☐</w:t>
            </w:r>
          </w:p>
        </w:tc>
        <w:tc>
          <w:tcPr>
            <w:tcW w:type="dxa" w:w="2493"/>
          </w:tcPr>
          <w:p>
            <w:pPr>
              <w:spacing w:after="0"/>
            </w:pPr>
            <w:r/>
          </w:p>
        </w:tc>
      </w:tr>
      <w:tr>
        <w:tc>
          <w:tcPr>
            <w:tcW w:type="dxa" w:w="2493"/>
          </w:tcPr>
          <w:p>
            <w:pPr>
              <w:spacing w:after="0"/>
            </w:pPr>
            <w:r/>
            <w:r>
              <w:rPr>
                <w:sz w:val="17"/>
              </w:rPr>
              <w:t>3</w:t>
            </w:r>
          </w:p>
        </w:tc>
        <w:tc>
          <w:tcPr>
            <w:tcW w:type="dxa" w:w="2493"/>
          </w:tcPr>
          <w:p>
            <w:pPr>
              <w:spacing w:after="0"/>
            </w:pPr>
            <w:r/>
            <w:r>
              <w:rPr>
                <w:sz w:val="17"/>
              </w:rPr>
              <w:t>Spadki, brak zastoin wody (próba polewania)</w:t>
            </w:r>
          </w:p>
        </w:tc>
        <w:tc>
          <w:tcPr>
            <w:tcW w:type="dxa" w:w="2493"/>
          </w:tcPr>
          <w:p>
            <w:pPr>
              <w:spacing w:after="0"/>
            </w:pPr>
            <w:r/>
            <w:r>
              <w:rPr>
                <w:sz w:val="17"/>
              </w:rPr>
              <w:t>☐ ☐</w:t>
            </w:r>
          </w:p>
        </w:tc>
        <w:tc>
          <w:tcPr>
            <w:tcW w:type="dxa" w:w="2493"/>
          </w:tcPr>
          <w:p>
            <w:pPr>
              <w:spacing w:after="0"/>
            </w:pPr>
            <w:r/>
          </w:p>
        </w:tc>
      </w:tr>
      <w:tr>
        <w:tc>
          <w:tcPr>
            <w:tcW w:type="dxa" w:w="2493"/>
          </w:tcPr>
          <w:p>
            <w:pPr>
              <w:spacing w:after="0"/>
            </w:pPr>
            <w:r/>
            <w:r>
              <w:rPr>
                <w:sz w:val="17"/>
              </w:rPr>
              <w:t>4</w:t>
            </w:r>
          </w:p>
        </w:tc>
        <w:tc>
          <w:tcPr>
            <w:tcW w:type="dxa" w:w="2493"/>
          </w:tcPr>
          <w:p>
            <w:pPr>
              <w:spacing w:after="0"/>
            </w:pPr>
            <w:r/>
            <w:r>
              <w:rPr>
                <w:sz w:val="17"/>
              </w:rPr>
              <w:t>Równość i uskoki między elementami</w:t>
            </w:r>
          </w:p>
        </w:tc>
        <w:tc>
          <w:tcPr>
            <w:tcW w:type="dxa" w:w="2493"/>
          </w:tcPr>
          <w:p>
            <w:pPr>
              <w:spacing w:after="0"/>
            </w:pPr>
            <w:r/>
            <w:r>
              <w:rPr>
                <w:sz w:val="17"/>
              </w:rPr>
              <w:t>☐ ☐</w:t>
            </w:r>
          </w:p>
        </w:tc>
        <w:tc>
          <w:tcPr>
            <w:tcW w:type="dxa" w:w="2493"/>
          </w:tcPr>
          <w:p>
            <w:pPr>
              <w:spacing w:after="0"/>
            </w:pPr>
            <w:r/>
          </w:p>
        </w:tc>
      </w:tr>
      <w:tr>
        <w:tc>
          <w:tcPr>
            <w:tcW w:type="dxa" w:w="2493"/>
          </w:tcPr>
          <w:p>
            <w:pPr>
              <w:spacing w:after="0"/>
            </w:pPr>
            <w:r/>
            <w:r>
              <w:rPr>
                <w:sz w:val="17"/>
              </w:rPr>
              <w:t>5</w:t>
            </w:r>
          </w:p>
        </w:tc>
        <w:tc>
          <w:tcPr>
            <w:tcW w:type="dxa" w:w="2493"/>
          </w:tcPr>
          <w:p>
            <w:pPr>
              <w:spacing w:after="0"/>
            </w:pPr>
            <w:r/>
            <w:r>
              <w:rPr>
                <w:sz w:val="17"/>
              </w:rPr>
              <w:t>Szerokość i wypełnienie spoin</w:t>
            </w:r>
          </w:p>
        </w:tc>
        <w:tc>
          <w:tcPr>
            <w:tcW w:type="dxa" w:w="2493"/>
          </w:tcPr>
          <w:p>
            <w:pPr>
              <w:spacing w:after="0"/>
            </w:pPr>
            <w:r/>
            <w:r>
              <w:rPr>
                <w:sz w:val="17"/>
              </w:rPr>
              <w:t>☐ ☐</w:t>
            </w:r>
          </w:p>
        </w:tc>
        <w:tc>
          <w:tcPr>
            <w:tcW w:type="dxa" w:w="2493"/>
          </w:tcPr>
          <w:p>
            <w:pPr>
              <w:spacing w:after="0"/>
            </w:pPr>
            <w:r/>
          </w:p>
        </w:tc>
      </w:tr>
      <w:tr>
        <w:tc>
          <w:tcPr>
            <w:tcW w:type="dxa" w:w="2493"/>
          </w:tcPr>
          <w:p>
            <w:pPr>
              <w:spacing w:after="0"/>
            </w:pPr>
            <w:r/>
            <w:r>
              <w:rPr>
                <w:sz w:val="17"/>
              </w:rPr>
              <w:t>6</w:t>
            </w:r>
          </w:p>
        </w:tc>
        <w:tc>
          <w:tcPr>
            <w:tcW w:type="dxa" w:w="2493"/>
          </w:tcPr>
          <w:p>
            <w:pPr>
              <w:spacing w:after="0"/>
            </w:pPr>
            <w:r/>
            <w:r>
              <w:rPr>
                <w:sz w:val="17"/>
              </w:rPr>
              <w:t>Rzędne pokryw studni i skrzynek (± 3 mm)</w:t>
            </w:r>
          </w:p>
        </w:tc>
        <w:tc>
          <w:tcPr>
            <w:tcW w:type="dxa" w:w="2493"/>
          </w:tcPr>
          <w:p>
            <w:pPr>
              <w:spacing w:after="0"/>
            </w:pPr>
            <w:r/>
            <w:r>
              <w:rPr>
                <w:sz w:val="17"/>
              </w:rPr>
              <w:t>☐ ☐</w:t>
            </w:r>
          </w:p>
        </w:tc>
        <w:tc>
          <w:tcPr>
            <w:tcW w:type="dxa" w:w="2493"/>
          </w:tcPr>
          <w:p>
            <w:pPr>
              <w:spacing w:after="0"/>
            </w:pPr>
            <w:r/>
          </w:p>
        </w:tc>
      </w:tr>
      <w:tr>
        <w:tc>
          <w:tcPr>
            <w:tcW w:type="dxa" w:w="2493"/>
          </w:tcPr>
          <w:p>
            <w:pPr>
              <w:spacing w:after="0"/>
            </w:pPr>
            <w:r/>
            <w:r>
              <w:rPr>
                <w:sz w:val="17"/>
              </w:rPr>
              <w:t>7</w:t>
            </w:r>
          </w:p>
        </w:tc>
        <w:tc>
          <w:tcPr>
            <w:tcW w:type="dxa" w:w="2493"/>
          </w:tcPr>
          <w:p>
            <w:pPr>
              <w:spacing w:after="0"/>
            </w:pPr>
            <w:r/>
            <w:r>
              <w:rPr>
                <w:sz w:val="17"/>
              </w:rPr>
              <w:t>Czystość i uprzątnięcie terenu</w:t>
            </w:r>
          </w:p>
        </w:tc>
        <w:tc>
          <w:tcPr>
            <w:tcW w:type="dxa" w:w="2493"/>
          </w:tcPr>
          <w:p>
            <w:pPr>
              <w:spacing w:after="0"/>
            </w:pPr>
            <w:r/>
            <w:r>
              <w:rPr>
                <w:sz w:val="17"/>
              </w:rPr>
              <w:t>☐ ☐</w:t>
            </w:r>
          </w:p>
        </w:tc>
        <w:tc>
          <w:tcPr>
            <w:tcW w:type="dxa" w:w="2493"/>
          </w:tcPr>
          <w:p>
            <w:pPr>
              <w:spacing w:after="0"/>
            </w:pPr>
            <w:r/>
          </w:p>
        </w:tc>
      </w:tr>
      <w:tr>
        <w:tc>
          <w:tcPr>
            <w:tcW w:type="dxa" w:w="2493"/>
          </w:tcPr>
          <w:p>
            <w:pPr>
              <w:spacing w:after="0"/>
            </w:pPr>
            <w:r/>
            <w:r>
              <w:rPr>
                <w:sz w:val="17"/>
              </w:rPr>
              <w:t>8</w:t>
            </w:r>
          </w:p>
        </w:tc>
        <w:tc>
          <w:tcPr>
            <w:tcW w:type="dxa" w:w="2493"/>
          </w:tcPr>
          <w:p>
            <w:pPr>
              <w:spacing w:after="0"/>
            </w:pPr>
            <w:r/>
            <w:r>
              <w:rPr>
                <w:sz w:val="17"/>
              </w:rPr>
              <w:t xml:space="preserve">Zwrot materiału niewbudowanego </w:t>
            </w:r>
            <w:r>
              <w:rPr>
                <w:i/>
                <w:sz w:val="17"/>
              </w:rPr>
              <w:t>(odbiór końcowy)</w:t>
            </w:r>
          </w:p>
        </w:tc>
        <w:tc>
          <w:tcPr>
            <w:tcW w:type="dxa" w:w="2493"/>
          </w:tcPr>
          <w:p>
            <w:pPr>
              <w:spacing w:after="0"/>
            </w:pPr>
            <w:r/>
            <w:r>
              <w:rPr>
                <w:sz w:val="17"/>
              </w:rPr>
              <w:t>☐ ☐</w:t>
            </w:r>
          </w:p>
        </w:tc>
        <w:tc>
          <w:tcPr>
            <w:tcW w:type="dxa" w:w="2493"/>
          </w:tcPr>
          <w:p>
            <w:pPr>
              <w:spacing w:after="0"/>
            </w:pPr>
            <w:r/>
          </w:p>
        </w:tc>
      </w:tr>
      <w:tr>
        <w:tc>
          <w:tcPr>
            <w:tcW w:type="dxa" w:w="2493"/>
          </w:tcPr>
          <w:p>
            <w:pPr>
              <w:spacing w:after="0"/>
            </w:pPr>
            <w:r/>
            <w:r>
              <w:rPr>
                <w:sz w:val="17"/>
              </w:rPr>
              <w:t>9</w:t>
            </w:r>
          </w:p>
        </w:tc>
        <w:tc>
          <w:tcPr>
            <w:tcW w:type="dxa" w:w="2493"/>
          </w:tcPr>
          <w:p>
            <w:pPr>
              <w:spacing w:after="0"/>
            </w:pPr>
            <w:r/>
            <w:r>
              <w:rPr>
                <w:sz w:val="17"/>
              </w:rPr>
              <w:t xml:space="preserve">Odtworzenie nawierzchni drogi </w:t>
            </w:r>
            <w:r>
              <w:rPr>
                <w:i/>
                <w:sz w:val="17"/>
              </w:rPr>
              <w:t>(sekcja S7)</w:t>
            </w:r>
          </w:p>
        </w:tc>
        <w:tc>
          <w:tcPr>
            <w:tcW w:type="dxa" w:w="2493"/>
          </w:tcPr>
          <w:p>
            <w:pPr>
              <w:spacing w:after="0"/>
            </w:pPr>
            <w:r/>
            <w:r>
              <w:rPr>
                <w:sz w:val="17"/>
              </w:rPr>
              <w:t>☐ ☐</w:t>
            </w:r>
          </w:p>
        </w:tc>
        <w:tc>
          <w:tcPr>
            <w:tcW w:type="dxa" w:w="2493"/>
          </w:tcPr>
          <w:p>
            <w:pPr>
              <w:spacing w:after="0"/>
            </w:pPr>
            <w:r/>
          </w:p>
        </w:tc>
      </w:tr>
    </w:tbl>
    <w:p>
      <w:pPr>
        <w:spacing w:after="0"/>
      </w:pPr>
    </w:p>
    <w:p>
      <w:r>
        <w:rPr>
          <w:b/>
        </w:rPr>
        <w:t>Wady stwierdzone: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8E8E8"/>
          </w:tcPr>
          <w:p>
            <w:pPr>
              <w:spacing w:after="0"/>
            </w:pPr>
            <w:r/>
            <w:r>
              <w:rPr>
                <w:b/>
                <w:sz w:val="17"/>
              </w:rPr>
              <w:t>lp.</w:t>
            </w:r>
          </w:p>
        </w:tc>
        <w:tc>
          <w:tcPr>
            <w:tcW w:type="dxa" w:w="2493"/>
            <w:shd w:val="clear" w:color="auto" w:fill="E8E8E8"/>
          </w:tcPr>
          <w:p>
            <w:pPr>
              <w:spacing w:after="0"/>
            </w:pPr>
            <w:r/>
            <w:r>
              <w:rPr>
                <w:b/>
                <w:sz w:val="17"/>
              </w:rPr>
              <w:t>opis wady</w:t>
            </w:r>
          </w:p>
        </w:tc>
        <w:tc>
          <w:tcPr>
            <w:tcW w:type="dxa" w:w="2493"/>
            <w:shd w:val="clear" w:color="auto" w:fill="E8E8E8"/>
          </w:tcPr>
          <w:p>
            <w:pPr>
              <w:spacing w:after="0"/>
            </w:pPr>
            <w:r/>
            <w:r>
              <w:rPr>
                <w:b/>
                <w:sz w:val="17"/>
              </w:rPr>
              <w:t>istotna / nieistotna</w:t>
            </w:r>
          </w:p>
        </w:tc>
        <w:tc>
          <w:tcPr>
            <w:tcW w:type="dxa" w:w="2493"/>
            <w:shd w:val="clear" w:color="auto" w:fill="E8E8E8"/>
          </w:tcPr>
          <w:p>
            <w:pPr>
              <w:spacing w:after="0"/>
            </w:pPr>
            <w:r/>
            <w:r>
              <w:rPr>
                <w:b/>
                <w:sz w:val="17"/>
              </w:rPr>
              <w:t>termin usunięcia</w:t>
            </w:r>
          </w:p>
        </w:tc>
      </w:tr>
      <w:tr>
        <w:tc>
          <w:tcPr>
            <w:tcW w:type="dxa" w:w="2493"/>
          </w:tcPr>
          <w:p>
            <w:pPr>
              <w:spacing w:after="0"/>
            </w:pPr>
            <w:r/>
            <w:r>
              <w:rPr>
                <w:sz w:val="17"/>
              </w:rPr>
              <w:t>1</w:t>
            </w:r>
          </w:p>
        </w:tc>
        <w:tc>
          <w:tcPr>
            <w:tcW w:type="dxa" w:w="2493"/>
          </w:tcPr>
          <w:p>
            <w:pPr>
              <w:spacing w:after="0"/>
            </w:pPr>
            <w:r/>
          </w:p>
        </w:tc>
        <w:tc>
          <w:tcPr>
            <w:tcW w:type="dxa" w:w="2493"/>
          </w:tcPr>
          <w:p>
            <w:pPr>
              <w:spacing w:after="0"/>
            </w:pPr>
            <w:r/>
          </w:p>
        </w:tc>
        <w:tc>
          <w:tcPr>
            <w:tcW w:type="dxa" w:w="2493"/>
          </w:tcPr>
          <w:p>
            <w:pPr>
              <w:spacing w:after="0"/>
            </w:pPr>
            <w:r/>
          </w:p>
        </w:tc>
      </w:tr>
      <w:tr>
        <w:tc>
          <w:tcPr>
            <w:tcW w:type="dxa" w:w="2493"/>
          </w:tcPr>
          <w:p>
            <w:pPr>
              <w:spacing w:after="0"/>
            </w:pPr>
            <w:r/>
            <w:r>
              <w:rPr>
                <w:sz w:val="17"/>
              </w:rPr>
              <w:t>2</w:t>
            </w:r>
          </w:p>
        </w:tc>
        <w:tc>
          <w:tcPr>
            <w:tcW w:type="dxa" w:w="2493"/>
          </w:tcPr>
          <w:p>
            <w:pPr>
              <w:spacing w:after="0"/>
            </w:pPr>
            <w:r/>
          </w:p>
        </w:tc>
        <w:tc>
          <w:tcPr>
            <w:tcW w:type="dxa" w:w="2493"/>
          </w:tcPr>
          <w:p>
            <w:pPr>
              <w:spacing w:after="0"/>
            </w:pPr>
            <w:r/>
          </w:p>
        </w:tc>
        <w:tc>
          <w:tcPr>
            <w:tcW w:type="dxa" w:w="2493"/>
          </w:tcPr>
          <w:p>
            <w:pPr>
              <w:spacing w:after="0"/>
            </w:pPr>
            <w:r/>
          </w:p>
        </w:tc>
      </w:tr>
    </w:tbl>
    <w:p>
      <w:pPr>
        <w:spacing w:after="0"/>
      </w:pPr>
    </w:p>
    <w:p>
      <w:r>
        <w:rPr>
          <w:b/>
        </w:rPr>
        <w:t>Decyzja:</w:t>
      </w:r>
      <w:r>
        <w:rPr/>
        <w:t xml:space="preserve"> ☐ odbiór bez zastrzeżeń ☐ odbiór z wadami nieistotnymi ☐ odmowa odbioru</w:t>
      </w:r>
    </w:p>
    <w:p>
      <w:r>
        <w:rPr>
          <w:b/>
        </w:rPr>
        <w:t>Skutek:</w:t>
      </w:r>
      <w:r>
        <w:rPr/>
        <w:t xml:space="preserve"> odbiór sekcji stanowi podstawę wymagalności raty nr ……… — ……………… zł brutto.</w:t>
      </w:r>
    </w:p>
    <w:tbl>
      <w:tblPr>
        <w:tblStyle w:val="TableGrid"/>
        <w:tblW w:type="auto" w:w="0"/>
        <w:tblLook w:firstColumn="1" w:firstRow="1" w:lastColumn="0" w:lastRow="0" w:noHBand="0" w:noVBand="1" w:val="04A0"/>
      </w:tblPr>
      <w:tblGrid>
        <w:gridCol w:w="4986"/>
        <w:gridCol w:w="4986"/>
      </w:tblGrid>
      <w:tr>
        <w:tc>
          <w:tcPr>
            <w:tcW w:type="dxa" w:w="4986"/>
            <w:shd w:val="clear" w:color="auto" w:fill="E8E8E8"/>
          </w:tcPr>
          <w:p>
            <w:pPr>
              <w:spacing w:after="0"/>
            </w:pPr>
            <w:r/>
            <w:r>
              <w:rPr>
                <w:b/>
                <w:sz w:val="17"/>
              </w:rPr>
              <w:t>ZAMAWIAJĄCY</w:t>
            </w:r>
          </w:p>
        </w:tc>
        <w:tc>
          <w:tcPr>
            <w:tcW w:type="dxa" w:w="4986"/>
            <w:shd w:val="clear" w:color="auto" w:fill="E8E8E8"/>
          </w:tcPr>
          <w:p>
            <w:pPr>
              <w:spacing w:after="0"/>
            </w:pPr>
            <w:r/>
            <w:r>
              <w:rPr>
                <w:b/>
                <w:sz w:val="17"/>
              </w:rPr>
              <w:t>WYKONAWCA</w:t>
            </w:r>
          </w:p>
        </w:tc>
      </w:tr>
      <w:tr>
        <w:tc>
          <w:tcPr>
            <w:tcW w:type="dxa" w:w="4986"/>
          </w:tcPr>
          <w:p>
            <w:pPr>
              <w:spacing w:after="0"/>
            </w:pPr>
            <w:r/>
            <w:r>
              <w:rPr>
                <w:sz w:val="17"/>
              </w:rPr>
              <w:t>……………………………</w:t>
            </w:r>
          </w:p>
        </w:tc>
        <w:tc>
          <w:tcPr>
            <w:tcW w:type="dxa" w:w="4986"/>
          </w:tcPr>
          <w:p>
            <w:pPr>
              <w:spacing w:after="0"/>
            </w:pPr>
            <w:r/>
            <w:r>
              <w:rPr>
                <w:sz w:val="17"/>
              </w:rPr>
              <w:t>……………………………</w:t>
            </w:r>
          </w:p>
        </w:tc>
      </w:tr>
    </w:tbl>
    <w:p>
      <w:pPr>
        <w:spacing w:after="0"/>
      </w:pPr>
    </w:p>
    <w:p>
      <w:r>
        <w:br w:type="page"/>
      </w:r>
    </w:p>
    <w:p>
      <w:pPr>
        <w:keepNext/>
        <w:spacing w:before="80"/>
      </w:pPr>
      <w:r>
        <w:rPr>
          <w:b/>
          <w:sz w:val="28"/>
        </w:rPr>
        <w:t>Załącznik nr 4 — notatka z obejścia terenu</w:t>
      </w:r>
    </w:p>
    <w:p>
      <w:r>
        <w:rPr>
          <w:i/>
        </w:rPr>
        <w:t>Sporządzana przed rozpoczęciem robót ziemnych, stanowi załącznik do protokołu przekazania terenu (§ 8 ust. 2).</w:t>
      </w:r>
    </w:p>
    <w:p>
      <w:r>
        <w:rPr/>
        <w:t>Data obejścia: ………………</w:t>
      </w:r>
    </w:p>
    <w:p>
      <w:r>
        <w:rPr/>
        <w:t>Uczestnicy: ze strony Zamawiającego ………………, ze strony Wykonawcy ………………</w:t>
      </w:r>
    </w:p>
    <w:p>
      <w:r>
        <w:rPr>
          <w:b/>
        </w:rPr>
        <w:t>Wskazane instalacje podziemne</w:t>
      </w:r>
      <w:r>
        <w:rPr/>
        <w:t xml:space="preserve"> — położenie z dokładnością ± 0,5 m:</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8E8E8"/>
          </w:tcPr>
          <w:p>
            <w:pPr>
              <w:spacing w:after="0"/>
            </w:pPr>
            <w:r/>
            <w:r>
              <w:rPr>
                <w:b/>
                <w:sz w:val="17"/>
              </w:rPr>
              <w:t>lp.</w:t>
            </w:r>
          </w:p>
        </w:tc>
        <w:tc>
          <w:tcPr>
            <w:tcW w:type="dxa" w:w="2493"/>
            <w:shd w:val="clear" w:color="auto" w:fill="E8E8E8"/>
          </w:tcPr>
          <w:p>
            <w:pPr>
              <w:spacing w:after="0"/>
            </w:pPr>
            <w:r/>
            <w:r>
              <w:rPr>
                <w:b/>
                <w:sz w:val="17"/>
              </w:rPr>
              <w:t>instalacja</w:t>
            </w:r>
          </w:p>
        </w:tc>
        <w:tc>
          <w:tcPr>
            <w:tcW w:type="dxa" w:w="2493"/>
            <w:shd w:val="clear" w:color="auto" w:fill="E8E8E8"/>
          </w:tcPr>
          <w:p>
            <w:pPr>
              <w:spacing w:after="0"/>
            </w:pPr>
            <w:r/>
            <w:r>
              <w:rPr>
                <w:b/>
                <w:sz w:val="17"/>
              </w:rPr>
              <w:t>przebieg / lokalizacja</w:t>
            </w:r>
          </w:p>
        </w:tc>
        <w:tc>
          <w:tcPr>
            <w:tcW w:type="dxa" w:w="2493"/>
            <w:shd w:val="clear" w:color="auto" w:fill="E8E8E8"/>
          </w:tcPr>
          <w:p>
            <w:pPr>
              <w:spacing w:after="0"/>
            </w:pPr>
            <w:r/>
            <w:r>
              <w:rPr>
                <w:b/>
                <w:sz w:val="17"/>
              </w:rPr>
              <w:t>uwagi</w:t>
            </w:r>
          </w:p>
        </w:tc>
      </w:tr>
      <w:tr>
        <w:tc>
          <w:tcPr>
            <w:tcW w:type="dxa" w:w="2493"/>
          </w:tcPr>
          <w:p>
            <w:pPr>
              <w:spacing w:after="0"/>
            </w:pPr>
            <w:r/>
            <w:r>
              <w:rPr>
                <w:sz w:val="17"/>
              </w:rPr>
              <w:t>1</w:t>
            </w:r>
          </w:p>
        </w:tc>
        <w:tc>
          <w:tcPr>
            <w:tcW w:type="dxa" w:w="2493"/>
          </w:tcPr>
          <w:p>
            <w:pPr>
              <w:spacing w:after="0"/>
            </w:pPr>
            <w:r/>
            <w:r>
              <w:rPr>
                <w:sz w:val="17"/>
              </w:rPr>
              <w:t>peszle elektryczne ⌀25, ⌀50, ⌀75, ⌀110</w:t>
            </w:r>
          </w:p>
        </w:tc>
        <w:tc>
          <w:tcPr>
            <w:tcW w:type="dxa" w:w="2493"/>
          </w:tcPr>
          <w:p>
            <w:pPr>
              <w:spacing w:after="0"/>
            </w:pPr>
            <w:r/>
          </w:p>
        </w:tc>
        <w:tc>
          <w:tcPr>
            <w:tcW w:type="dxa" w:w="2493"/>
          </w:tcPr>
          <w:p>
            <w:pPr>
              <w:spacing w:after="0"/>
            </w:pPr>
            <w:r/>
          </w:p>
        </w:tc>
      </w:tr>
      <w:tr>
        <w:tc>
          <w:tcPr>
            <w:tcW w:type="dxa" w:w="2493"/>
          </w:tcPr>
          <w:p>
            <w:pPr>
              <w:spacing w:after="0"/>
            </w:pPr>
            <w:r/>
            <w:r>
              <w:rPr>
                <w:sz w:val="17"/>
              </w:rPr>
              <w:t>2</w:t>
            </w:r>
          </w:p>
        </w:tc>
        <w:tc>
          <w:tcPr>
            <w:tcW w:type="dxa" w:w="2493"/>
          </w:tcPr>
          <w:p>
            <w:pPr>
              <w:spacing w:after="0"/>
            </w:pPr>
            <w:r/>
            <w:r>
              <w:rPr>
                <w:sz w:val="17"/>
              </w:rPr>
              <w:t>studnie kablowe 300×300 i 800×800 mm</w:t>
            </w:r>
          </w:p>
        </w:tc>
        <w:tc>
          <w:tcPr>
            <w:tcW w:type="dxa" w:w="2493"/>
          </w:tcPr>
          <w:p>
            <w:pPr>
              <w:spacing w:after="0"/>
            </w:pPr>
            <w:r/>
          </w:p>
        </w:tc>
        <w:tc>
          <w:tcPr>
            <w:tcW w:type="dxa" w:w="2493"/>
          </w:tcPr>
          <w:p>
            <w:pPr>
              <w:spacing w:after="0"/>
            </w:pPr>
            <w:r/>
          </w:p>
        </w:tc>
      </w:tr>
      <w:tr>
        <w:tc>
          <w:tcPr>
            <w:tcW w:type="dxa" w:w="2493"/>
          </w:tcPr>
          <w:p>
            <w:pPr>
              <w:spacing w:after="0"/>
            </w:pPr>
            <w:r/>
            <w:r>
              <w:rPr>
                <w:sz w:val="17"/>
              </w:rPr>
              <w:t>3</w:t>
            </w:r>
          </w:p>
        </w:tc>
        <w:tc>
          <w:tcPr>
            <w:tcW w:type="dxa" w:w="2493"/>
          </w:tcPr>
          <w:p>
            <w:pPr>
              <w:spacing w:after="0"/>
            </w:pPr>
            <w:r/>
            <w:r>
              <w:rPr>
                <w:sz w:val="17"/>
              </w:rPr>
              <w:t>instalacja wodociągowa i zasilanie retencji</w:t>
            </w:r>
          </w:p>
        </w:tc>
        <w:tc>
          <w:tcPr>
            <w:tcW w:type="dxa" w:w="2493"/>
          </w:tcPr>
          <w:p>
            <w:pPr>
              <w:spacing w:after="0"/>
            </w:pPr>
            <w:r/>
          </w:p>
        </w:tc>
        <w:tc>
          <w:tcPr>
            <w:tcW w:type="dxa" w:w="2493"/>
          </w:tcPr>
          <w:p>
            <w:pPr>
              <w:spacing w:after="0"/>
            </w:pPr>
            <w:r/>
          </w:p>
        </w:tc>
      </w:tr>
      <w:tr>
        <w:tc>
          <w:tcPr>
            <w:tcW w:type="dxa" w:w="2493"/>
          </w:tcPr>
          <w:p>
            <w:pPr>
              <w:spacing w:after="0"/>
            </w:pPr>
            <w:r/>
            <w:r>
              <w:rPr>
                <w:sz w:val="17"/>
              </w:rPr>
              <w:t>4</w:t>
            </w:r>
          </w:p>
        </w:tc>
        <w:tc>
          <w:tcPr>
            <w:tcW w:type="dxa" w:w="2493"/>
          </w:tcPr>
          <w:p>
            <w:pPr>
              <w:spacing w:after="0"/>
            </w:pPr>
            <w:r/>
            <w:r>
              <w:rPr>
                <w:sz w:val="17"/>
              </w:rPr>
              <w:t>kanalizacja sanitarna, poletka drenażowe</w:t>
            </w:r>
          </w:p>
        </w:tc>
        <w:tc>
          <w:tcPr>
            <w:tcW w:type="dxa" w:w="2493"/>
          </w:tcPr>
          <w:p>
            <w:pPr>
              <w:spacing w:after="0"/>
            </w:pPr>
            <w:r/>
          </w:p>
        </w:tc>
        <w:tc>
          <w:tcPr>
            <w:tcW w:type="dxa" w:w="2493"/>
          </w:tcPr>
          <w:p>
            <w:pPr>
              <w:spacing w:after="0"/>
            </w:pPr>
            <w:r/>
          </w:p>
        </w:tc>
      </w:tr>
      <w:tr>
        <w:tc>
          <w:tcPr>
            <w:tcW w:type="dxa" w:w="2493"/>
          </w:tcPr>
          <w:p>
            <w:pPr>
              <w:spacing w:after="0"/>
            </w:pPr>
            <w:r/>
            <w:r>
              <w:rPr>
                <w:sz w:val="17"/>
              </w:rPr>
              <w:t>5</w:t>
            </w:r>
          </w:p>
        </w:tc>
        <w:tc>
          <w:tcPr>
            <w:tcW w:type="dxa" w:w="2493"/>
          </w:tcPr>
          <w:p>
            <w:pPr>
              <w:spacing w:after="0"/>
            </w:pPr>
            <w:r/>
            <w:r>
              <w:rPr>
                <w:sz w:val="17"/>
              </w:rPr>
              <w:t>zbiorniki retencyjne, studnia ⌀900</w:t>
            </w:r>
          </w:p>
        </w:tc>
        <w:tc>
          <w:tcPr>
            <w:tcW w:type="dxa" w:w="2493"/>
          </w:tcPr>
          <w:p>
            <w:pPr>
              <w:spacing w:after="0"/>
            </w:pPr>
            <w:r/>
          </w:p>
        </w:tc>
        <w:tc>
          <w:tcPr>
            <w:tcW w:type="dxa" w:w="2493"/>
          </w:tcPr>
          <w:p>
            <w:pPr>
              <w:spacing w:after="0"/>
            </w:pPr>
            <w:r/>
          </w:p>
        </w:tc>
      </w:tr>
      <w:tr>
        <w:tc>
          <w:tcPr>
            <w:tcW w:type="dxa" w:w="2493"/>
          </w:tcPr>
          <w:p>
            <w:pPr>
              <w:spacing w:after="0"/>
            </w:pPr>
            <w:r/>
            <w:r>
              <w:rPr>
                <w:sz w:val="17"/>
              </w:rPr>
              <w:t>6</w:t>
            </w:r>
          </w:p>
        </w:tc>
        <w:tc>
          <w:tcPr>
            <w:tcW w:type="dxa" w:w="2493"/>
          </w:tcPr>
          <w:p>
            <w:pPr>
              <w:spacing w:after="0"/>
            </w:pPr>
            <w:r/>
            <w:r>
              <w:rPr>
                <w:sz w:val="17"/>
              </w:rPr>
              <w:t>skrzynia zaworów nawadniania 550×550 mm</w:t>
            </w:r>
          </w:p>
        </w:tc>
        <w:tc>
          <w:tcPr>
            <w:tcW w:type="dxa" w:w="2493"/>
          </w:tcPr>
          <w:p>
            <w:pPr>
              <w:spacing w:after="0"/>
            </w:pPr>
            <w:r/>
          </w:p>
        </w:tc>
        <w:tc>
          <w:tcPr>
            <w:tcW w:type="dxa" w:w="2493"/>
          </w:tcPr>
          <w:p>
            <w:pPr>
              <w:spacing w:after="0"/>
            </w:pPr>
            <w:r/>
          </w:p>
        </w:tc>
      </w:tr>
      <w:tr>
        <w:tc>
          <w:tcPr>
            <w:tcW w:type="dxa" w:w="2493"/>
          </w:tcPr>
          <w:p>
            <w:pPr>
              <w:spacing w:after="0"/>
            </w:pPr>
            <w:r/>
            <w:r>
              <w:rPr>
                <w:sz w:val="17"/>
              </w:rPr>
              <w:t>7</w:t>
            </w:r>
          </w:p>
        </w:tc>
        <w:tc>
          <w:tcPr>
            <w:tcW w:type="dxa" w:w="2493"/>
          </w:tcPr>
          <w:p>
            <w:pPr>
              <w:spacing w:after="0"/>
            </w:pPr>
            <w:r/>
            <w:r>
              <w:rPr>
                <w:sz w:val="17"/>
              </w:rPr>
              <w:t>spusty rynnowe i rury do zbiorników</w:t>
            </w:r>
          </w:p>
        </w:tc>
        <w:tc>
          <w:tcPr>
            <w:tcW w:type="dxa" w:w="2493"/>
          </w:tcPr>
          <w:p>
            <w:pPr>
              <w:spacing w:after="0"/>
            </w:pPr>
            <w:r/>
          </w:p>
        </w:tc>
        <w:tc>
          <w:tcPr>
            <w:tcW w:type="dxa" w:w="2493"/>
          </w:tcPr>
          <w:p>
            <w:pPr>
              <w:spacing w:after="0"/>
            </w:pPr>
            <w:r/>
          </w:p>
        </w:tc>
      </w:tr>
      <w:tr>
        <w:tc>
          <w:tcPr>
            <w:tcW w:type="dxa" w:w="2493"/>
          </w:tcPr>
          <w:p>
            <w:pPr>
              <w:spacing w:after="0"/>
            </w:pPr>
            <w:r/>
            <w:r>
              <w:rPr>
                <w:sz w:val="17"/>
              </w:rPr>
              <w:t>8</w:t>
            </w:r>
          </w:p>
        </w:tc>
        <w:tc>
          <w:tcPr>
            <w:tcW w:type="dxa" w:w="2493"/>
          </w:tcPr>
          <w:p>
            <w:pPr>
              <w:spacing w:after="0"/>
            </w:pPr>
            <w:r/>
            <w:r>
              <w:rPr>
                <w:b/>
                <w:sz w:val="17"/>
              </w:rPr>
              <w:t>przyłącze gazu</w:t>
            </w:r>
          </w:p>
        </w:tc>
        <w:tc>
          <w:tcPr>
            <w:tcW w:type="dxa" w:w="2493"/>
          </w:tcPr>
          <w:p>
            <w:pPr>
              <w:spacing w:after="0"/>
            </w:pPr>
            <w:r/>
          </w:p>
        </w:tc>
        <w:tc>
          <w:tcPr>
            <w:tcW w:type="dxa" w:w="2493"/>
          </w:tcPr>
          <w:p>
            <w:pPr>
              <w:spacing w:after="0"/>
            </w:pPr>
            <w:r/>
          </w:p>
        </w:tc>
      </w:tr>
      <w:tr>
        <w:tc>
          <w:tcPr>
            <w:tcW w:type="dxa" w:w="2493"/>
          </w:tcPr>
          <w:p>
            <w:pPr>
              <w:spacing w:after="0"/>
            </w:pPr>
            <w:r/>
            <w:r>
              <w:rPr>
                <w:sz w:val="17"/>
              </w:rPr>
              <w:t>9</w:t>
            </w:r>
          </w:p>
        </w:tc>
        <w:tc>
          <w:tcPr>
            <w:tcW w:type="dxa" w:w="2493"/>
          </w:tcPr>
          <w:p>
            <w:pPr>
              <w:spacing w:after="0"/>
            </w:pPr>
            <w:r/>
            <w:r>
              <w:rPr>
                <w:sz w:val="17"/>
              </w:rPr>
              <w:t>przyłącza gazu, wody i eNN w poprzek działki 8/11</w:t>
            </w:r>
          </w:p>
        </w:tc>
        <w:tc>
          <w:tcPr>
            <w:tcW w:type="dxa" w:w="2493"/>
          </w:tcPr>
          <w:p>
            <w:pPr>
              <w:spacing w:after="0"/>
            </w:pPr>
            <w:r/>
          </w:p>
        </w:tc>
        <w:tc>
          <w:tcPr>
            <w:tcW w:type="dxa" w:w="2493"/>
          </w:tcPr>
          <w:p>
            <w:pPr>
              <w:spacing w:after="0"/>
            </w:pPr>
            <w:r/>
          </w:p>
        </w:tc>
      </w:tr>
    </w:tbl>
    <w:p>
      <w:pPr>
        <w:spacing w:after="0"/>
      </w:pPr>
    </w:p>
    <w:p>
      <w:r>
        <w:rPr>
          <w:b/>
        </w:rPr>
        <w:t>Wskazane rozwiązania i miejsca:</w:t>
      </w:r>
    </w:p>
    <w:tbl>
      <w:tblPr>
        <w:tblStyle w:val="TableGrid"/>
        <w:tblW w:type="auto" w:w="0"/>
        <w:tblLook w:firstColumn="1" w:firstRow="1" w:lastColumn="0" w:lastRow="0" w:noHBand="0" w:noVBand="1" w:val="04A0"/>
      </w:tblPr>
      <w:tblGrid>
        <w:gridCol w:w="4986"/>
        <w:gridCol w:w="4986"/>
      </w:tblGrid>
      <w:tr>
        <w:tc>
          <w:tcPr>
            <w:tcW w:type="dxa" w:w="4986"/>
            <w:shd w:val="clear" w:color="auto" w:fill="E8E8E8"/>
          </w:tcPr>
          <w:p>
            <w:pPr>
              <w:spacing w:after="0"/>
            </w:pPr>
            <w:r/>
            <w:r>
              <w:rPr>
                <w:b/>
                <w:sz w:val="17"/>
              </w:rPr>
              <w:t>co</w:t>
            </w:r>
          </w:p>
        </w:tc>
        <w:tc>
          <w:tcPr>
            <w:tcW w:type="dxa" w:w="4986"/>
            <w:shd w:val="clear" w:color="auto" w:fill="E8E8E8"/>
          </w:tcPr>
          <w:p>
            <w:pPr>
              <w:spacing w:after="0"/>
            </w:pPr>
            <w:r/>
            <w:r>
              <w:rPr>
                <w:b/>
                <w:sz w:val="17"/>
              </w:rPr>
              <w:t>ustalenie</w:t>
            </w:r>
          </w:p>
        </w:tc>
      </w:tr>
      <w:tr>
        <w:tc>
          <w:tcPr>
            <w:tcW w:type="dxa" w:w="4986"/>
          </w:tcPr>
          <w:p>
            <w:pPr>
              <w:spacing w:after="0"/>
            </w:pPr>
            <w:r/>
            <w:r>
              <w:rPr>
                <w:sz w:val="17"/>
              </w:rPr>
              <w:t>rozmieszczenie stóp pod kotwienie domku i śmietnika (§ 6 ust. 6)</w:t>
            </w:r>
          </w:p>
        </w:tc>
        <w:tc>
          <w:tcPr>
            <w:tcW w:type="dxa" w:w="4986"/>
          </w:tcPr>
          <w:p>
            <w:pPr>
              <w:spacing w:after="0"/>
            </w:pPr>
            <w:r/>
          </w:p>
        </w:tc>
      </w:tr>
      <w:tr>
        <w:tc>
          <w:tcPr>
            <w:tcW w:type="dxa" w:w="4986"/>
          </w:tcPr>
          <w:p>
            <w:pPr>
              <w:spacing w:after="0"/>
            </w:pPr>
            <w:r/>
            <w:r>
              <w:rPr>
                <w:sz w:val="17"/>
              </w:rPr>
              <w:t>zakończenie opaski przy skrzynkach — wzór z Perkalowej 10 (§ 7 ust. 5)</w:t>
            </w:r>
          </w:p>
        </w:tc>
        <w:tc>
          <w:tcPr>
            <w:tcW w:type="dxa" w:w="4986"/>
          </w:tcPr>
          <w:p>
            <w:pPr>
              <w:spacing w:after="0"/>
            </w:pPr>
            <w:r/>
          </w:p>
        </w:tc>
      </w:tr>
      <w:tr>
        <w:tc>
          <w:tcPr>
            <w:tcW w:type="dxa" w:w="4986"/>
          </w:tcPr>
          <w:p>
            <w:pPr>
              <w:spacing w:after="0"/>
            </w:pPr>
            <w:r/>
            <w:r>
              <w:rPr>
                <w:sz w:val="17"/>
              </w:rPr>
              <w:t>miejsce składowania materiału</w:t>
            </w:r>
          </w:p>
        </w:tc>
        <w:tc>
          <w:tcPr>
            <w:tcW w:type="dxa" w:w="4986"/>
          </w:tcPr>
          <w:p>
            <w:pPr>
              <w:spacing w:after="0"/>
            </w:pPr>
            <w:r/>
          </w:p>
        </w:tc>
      </w:tr>
      <w:tr>
        <w:tc>
          <w:tcPr>
            <w:tcW w:type="dxa" w:w="4986"/>
          </w:tcPr>
          <w:p>
            <w:pPr>
              <w:spacing w:after="0"/>
            </w:pPr>
            <w:r/>
            <w:r>
              <w:rPr>
                <w:sz w:val="17"/>
              </w:rPr>
              <w:t>miejsce składowania urobku</w:t>
            </w:r>
          </w:p>
        </w:tc>
        <w:tc>
          <w:tcPr>
            <w:tcW w:type="dxa" w:w="4986"/>
          </w:tcPr>
          <w:p>
            <w:pPr>
              <w:spacing w:after="0"/>
            </w:pPr>
            <w:r/>
          </w:p>
        </w:tc>
      </w:tr>
    </w:tbl>
    <w:p>
      <w:pPr>
        <w:spacing w:after="0"/>
      </w:pPr>
    </w:p>
    <w:tbl>
      <w:tblPr>
        <w:tblStyle w:val="TableGrid"/>
        <w:tblW w:type="auto" w:w="0"/>
        <w:tblLook w:firstColumn="1" w:firstRow="1" w:lastColumn="0" w:lastRow="0" w:noHBand="0" w:noVBand="1" w:val="04A0"/>
      </w:tblPr>
      <w:tblGrid>
        <w:gridCol w:w="4986"/>
        <w:gridCol w:w="4986"/>
      </w:tblGrid>
      <w:tr>
        <w:tc>
          <w:tcPr>
            <w:tcW w:type="dxa" w:w="4986"/>
            <w:shd w:val="clear" w:color="auto" w:fill="E8E8E8"/>
          </w:tcPr>
          <w:p>
            <w:pPr>
              <w:spacing w:after="0"/>
            </w:pPr>
            <w:r/>
            <w:r>
              <w:rPr>
                <w:b/>
                <w:sz w:val="17"/>
              </w:rPr>
              <w:t>ZAMAWIAJĄCY</w:t>
            </w:r>
          </w:p>
        </w:tc>
        <w:tc>
          <w:tcPr>
            <w:tcW w:type="dxa" w:w="4986"/>
            <w:shd w:val="clear" w:color="auto" w:fill="E8E8E8"/>
          </w:tcPr>
          <w:p>
            <w:pPr>
              <w:spacing w:after="0"/>
            </w:pPr>
            <w:r/>
            <w:r>
              <w:rPr>
                <w:b/>
                <w:sz w:val="17"/>
              </w:rPr>
              <w:t>WYKONAWCA</w:t>
            </w:r>
          </w:p>
        </w:tc>
      </w:tr>
      <w:tr>
        <w:tc>
          <w:tcPr>
            <w:tcW w:type="dxa" w:w="4986"/>
          </w:tcPr>
          <w:p>
            <w:pPr>
              <w:spacing w:after="0"/>
            </w:pPr>
            <w:r/>
            <w:r>
              <w:rPr>
                <w:sz w:val="17"/>
              </w:rPr>
              <w:t>……………………………</w:t>
            </w:r>
          </w:p>
        </w:tc>
        <w:tc>
          <w:tcPr>
            <w:tcW w:type="dxa" w:w="4986"/>
          </w:tcPr>
          <w:p>
            <w:pPr>
              <w:spacing w:after="0"/>
            </w:pPr>
            <w:r/>
            <w:r>
              <w:rPr>
                <w:sz w:val="17"/>
              </w:rPr>
              <w:t>……………………………</w:t>
            </w:r>
          </w:p>
        </w:tc>
      </w:tr>
    </w:tbl>
    <w:p>
      <w:pPr>
        <w:spacing w:after="0"/>
      </w:pP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